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东吴非银 - 非银投资全景系列01期：非银金融行业研究方法 260810_导读</w:t>
      </w:r>
    </w:p>
    <w:p>
      <w:pPr>
        <w:pStyle w:val="a0"/>
        <w:jc w:val="center"/>
      </w:pPr>
      <w:r>
        <w:t>2026年08月10日 22:40</w:t>
      </w:r>
    </w:p>
    <w:p>
      <w:pPr>
        <w:pStyle w:val="a7"/>
      </w:pPr>
      <w:r>
        <w:t>关键词</w:t>
      </w:r>
    </w:p>
    <w:p>
      <w:r>
        <w:rPr>
          <w:rFonts w:ascii="等线(中文正文)" w:hAnsi="等线(中文正文)" w:cs="等线(中文正文)" w:eastAsia="等线(中文正文)"/>
          <w:b w:val="false"/>
          <w:i w:val="false"/>
          <w:sz w:val="20"/>
        </w:rPr>
        <w:t xml:space="preserve">保险 人身险 寿险 产险 保费 保险公司 代理人 银行渠道 年金保险 健康险 意外险 定寿 终身寿 重疾险 养老年金 产品分类 保险责任 利差 投资收益率 分红险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集中于非银金融领域，特别是保险和券商行业的发展策略与现状。券商行业被分为大券商和中小券商两类，前者依靠规模和资源主导市场，后者则通过特色化经营在特定市场或区域中寻得立足之地。以华安证券为例，展示了中小券商在长期投资上实现增长的可能性。对话指出，券商行业的数据分析与业绩评估相对简单，得益于其数据的实时性和透明度高于保险公司。此外，强调了头部券商的优势、中型券商特色化发展的必要性，并预告了对保险和券商细分领域的更深入研究计划。讨论还覆盖了保险业的盈利模式、产品分类、投资策略，以及券商的业务发展、竞争力分析和估值方式的变化，突出了资本市场活跃度对券商的影响及业务结构和盈利模式随时间演变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非银金融行业研究框架与现状分析</w:t>
      </w:r>
    </w:p>
    <w:p>
      <w:r>
        <w:rPr>
          <w:rFonts w:ascii="等线(中文正文)" w:hAnsi="等线(中文正文)" w:cs="等线(中文正文)" w:eastAsia="等线(中文正文)"/>
          <w:b w:val="false"/>
          <w:i w:val="false"/>
          <w:sz w:val="20"/>
        </w:rPr>
        <w:t>从8月10日至9月中下旬，团队将每日分享非银金融行业，包括保险、券商和金融科技的深度解读。研究框架基于保险和券商两大子行业，首先探讨保险公司产品分类及盈利模式，随后分析行业发展现状、估值方法及股价影响因素，不局限于PPT内容，旨在提供行业全面洞察。</w:t>
      </w:r>
    </w:p>
    <w:p>
      <w:r>
        <w:rPr>
          <w:rFonts w:ascii="等线(中文正文)" w:hAnsi="等线(中文正文)" w:cs="等线(中文正文)" w:eastAsia="等线(中文正文)"/>
          <w:b w:val="false"/>
          <w:i w:val="false"/>
          <w:sz w:val="20"/>
        </w:rPr>
        <w:t/>
      </w:r>
    </w:p>
    <w:p>
      <w:pPr>
        <w:pStyle w:val="ab"/>
        <w:numPr>
          <w:numId w:val="2"/>
        </w:numPr>
      </w:pPr>
      <w:r>
        <w:t>02:50 寿险行业分析与资产构成</w:t>
      </w:r>
    </w:p>
    <w:p>
      <w:r>
        <w:rPr>
          <w:rFonts w:ascii="等线(中文正文)" w:hAnsi="等线(中文正文)" w:cs="等线(中文正文)" w:eastAsia="等线(中文正文)"/>
          <w:b w:val="false"/>
          <w:i w:val="false"/>
          <w:sz w:val="20"/>
        </w:rPr>
        <w:t>对话深入探讨了保险行业中的寿险与产险分类，强调了寿险在行业中的主导地位，包括保费和总资产占比，以及寿险的复杂性与重要性。</w:t>
      </w:r>
    </w:p>
    <w:p>
      <w:r>
        <w:rPr>
          <w:rFonts w:ascii="等线(中文正文)" w:hAnsi="等线(中文正文)" w:cs="等线(中文正文)" w:eastAsia="等线(中文正文)"/>
          <w:b w:val="false"/>
          <w:i w:val="false"/>
          <w:sz w:val="20"/>
        </w:rPr>
        <w:t/>
      </w:r>
    </w:p>
    <w:p>
      <w:pPr>
        <w:pStyle w:val="ab"/>
        <w:numPr>
          <w:numId w:val="3"/>
        </w:numPr>
      </w:pPr>
      <w:r>
        <w:t>05:19 寿险分类与行业趋势解析</w:t>
      </w:r>
    </w:p>
    <w:p>
      <w:r>
        <w:rPr>
          <w:rFonts w:ascii="等线(中文正文)" w:hAnsi="等线(中文正文)" w:cs="等线(中文正文)" w:eastAsia="等线(中文正文)"/>
          <w:b w:val="false"/>
          <w:i w:val="false"/>
          <w:sz w:val="20"/>
        </w:rPr>
        <w:t>对话围绕人身保险的四大分类展开，包括人寿保险、健康保险、意外险和年金保险，重点讨论了年金保险在当前行业中的主流地位，反映了消费者需求对保险产品结构的影响。</w:t>
      </w:r>
    </w:p>
    <w:p>
      <w:r>
        <w:rPr>
          <w:rFonts w:ascii="等线(中文正文)" w:hAnsi="等线(中文正文)" w:cs="等线(中文正文)" w:eastAsia="等线(中文正文)"/>
          <w:b w:val="false"/>
          <w:i w:val="false"/>
          <w:sz w:val="20"/>
        </w:rPr>
        <w:t/>
      </w:r>
    </w:p>
    <w:p>
      <w:pPr>
        <w:pStyle w:val="ab"/>
        <w:numPr>
          <w:numId w:val="4"/>
        </w:numPr>
      </w:pPr>
      <w:r>
        <w:t>07:06 保险产品类型与案例解析</w:t>
      </w:r>
    </w:p>
    <w:p>
      <w:r>
        <w:rPr>
          <w:rFonts w:ascii="等线(中文正文)" w:hAnsi="等线(中文正文)" w:cs="等线(中文正文)" w:eastAsia="等线(中文正文)"/>
          <w:b w:val="false"/>
          <w:i w:val="false"/>
          <w:sz w:val="20"/>
        </w:rPr>
        <w:t>对话详细介绍了两类保险产品：定期寿险与终身寿险附加重疾险。定期寿险以10年期为例，每年缴纳约1000元保费，保额约150万，到期未理赔则终止；终身寿险每年缴纳15000元，20年合计30万保费，保额70万，涵盖疾病与死亡责任。两类保险均基于死亡与疾病概率计算保费，提供不同程度的风险保障。</w:t>
      </w:r>
    </w:p>
    <w:p>
      <w:r>
        <w:rPr>
          <w:rFonts w:ascii="等线(中文正文)" w:hAnsi="等线(中文正文)" w:cs="等线(中文正文)" w:eastAsia="等线(中文正文)"/>
          <w:b w:val="false"/>
          <w:i w:val="false"/>
          <w:sz w:val="20"/>
        </w:rPr>
        <w:t/>
      </w:r>
    </w:p>
    <w:p>
      <w:pPr>
        <w:pStyle w:val="ab"/>
        <w:numPr>
          <w:numId w:val="5"/>
        </w:numPr>
      </w:pPr>
      <w:r>
        <w:t>09:54 保险产品特点与分类解析</w:t>
      </w:r>
    </w:p>
    <w:p>
      <w:r>
        <w:rPr>
          <w:rFonts w:ascii="等线(中文正文)" w:hAnsi="等线(中文正文)" w:cs="等线(中文正文)" w:eastAsia="等线(中文正文)"/>
          <w:b w:val="false"/>
          <w:i w:val="false"/>
          <w:sz w:val="20"/>
        </w:rPr>
        <w:t>对话围绕保险产品展开，介绍了意外险的高杠杆性和对特定事件的保障，以及年金保险的定义和分类，包括养老年金和非养老年金，强调了监管对产品期限和返还比例的限制。</w:t>
      </w:r>
    </w:p>
    <w:p>
      <w:r>
        <w:rPr>
          <w:rFonts w:ascii="等线(中文正文)" w:hAnsi="等线(中文正文)" w:cs="等线(中文正文)" w:eastAsia="等线(中文正文)"/>
          <w:b w:val="false"/>
          <w:i w:val="false"/>
          <w:sz w:val="20"/>
        </w:rPr>
        <w:t/>
      </w:r>
    </w:p>
    <w:p>
      <w:pPr>
        <w:pStyle w:val="ab"/>
        <w:numPr>
          <w:numId w:val="6"/>
        </w:numPr>
      </w:pPr>
      <w:r>
        <w:t>11:23 保险产品形态与销售渠道解析</w:t>
      </w:r>
    </w:p>
    <w:p>
      <w:r>
        <w:rPr>
          <w:rFonts w:ascii="等线(中文正文)" w:hAnsi="等线(中文正文)" w:cs="等线(中文正文)" w:eastAsia="等线(中文正文)"/>
          <w:b w:val="false"/>
          <w:i w:val="false"/>
          <w:sz w:val="20"/>
        </w:rPr>
        <w:t>对话详细介绍了保险产品的形态，包括年金类产品、保费收入与赔付责任，以及保险公司的主要销售渠道，如个险、银保、团险、电销和互联网。重点阐述了个险和银保渠道的重要性，以及期缴与趸缴的缴费模式，为理解保险公司运营提供了全面视角。</w:t>
      </w:r>
    </w:p>
    <w:p>
      <w:r>
        <w:rPr>
          <w:rFonts w:ascii="等线(中文正文)" w:hAnsi="等线(中文正文)" w:cs="等线(中文正文)" w:eastAsia="等线(中文正文)"/>
          <w:b w:val="false"/>
          <w:i w:val="false"/>
          <w:sz w:val="20"/>
        </w:rPr>
        <w:t/>
      </w:r>
    </w:p>
    <w:p>
      <w:pPr>
        <w:pStyle w:val="ab"/>
        <w:numPr>
          <w:numId w:val="7"/>
        </w:numPr>
      </w:pPr>
      <w:r>
        <w:t>14:26 保险产品特征与盈利能力分析</w:t>
      </w:r>
    </w:p>
    <w:p>
      <w:r>
        <w:rPr>
          <w:rFonts w:ascii="等线(中文正文)" w:hAnsi="等线(中文正文)" w:cs="等线(中文正文)" w:eastAsia="等线(中文正文)"/>
          <w:b w:val="false"/>
          <w:i w:val="false"/>
          <w:sz w:val="20"/>
        </w:rPr>
        <w:t>对话围绕保险产品特征及其盈利能力展开，重点介绍了传统险、分红险、万能险和投连险的分类，以及它们的保底利率、超额收益分配和盈利能力。传统险保底利率最高，但盈利能力较低；投连险无保底利率，盈利能力最高。当前行业正经历产品切换，分红险逐渐占据主导地位。</w:t>
      </w:r>
    </w:p>
    <w:p>
      <w:r>
        <w:rPr>
          <w:rFonts w:ascii="等线(中文正文)" w:hAnsi="等线(中文正文)" w:cs="等线(中文正文)" w:eastAsia="等线(中文正文)"/>
          <w:b w:val="false"/>
          <w:i w:val="false"/>
          <w:sz w:val="20"/>
        </w:rPr>
        <w:t/>
      </w:r>
    </w:p>
    <w:p>
      <w:pPr>
        <w:pStyle w:val="ab"/>
        <w:numPr>
          <w:numId w:val="8"/>
        </w:numPr>
      </w:pPr>
      <w:r>
        <w:t>18:32 保险公司利润来源与分红型产品解析</w:t>
      </w:r>
    </w:p>
    <w:p>
      <w:r>
        <w:rPr>
          <w:rFonts w:ascii="等线(中文正文)" w:hAnsi="等线(中文正文)" w:cs="等线(中文正文)" w:eastAsia="等线(中文正文)"/>
          <w:b w:val="false"/>
          <w:i w:val="false"/>
          <w:sz w:val="20"/>
        </w:rPr>
        <w:t>讨论了保险公司利润来源的三大方面：利差、死差和费差。重点解释了利差的概念，即投资收益与负债成本之间的差值，以及分红型产品如何分配超额收益。同时，分析了死差和费差的含义及其对保险公司利润的影响，指出当前保费来源更多依赖储蓄类产品，利润主要来源于利差。</w:t>
      </w:r>
    </w:p>
    <w:p>
      <w:r>
        <w:rPr>
          <w:rFonts w:ascii="等线(中文正文)" w:hAnsi="等线(中文正文)" w:cs="等线(中文正文)" w:eastAsia="等线(中文正文)"/>
          <w:b w:val="false"/>
          <w:i w:val="false"/>
          <w:sz w:val="20"/>
        </w:rPr>
        <w:t/>
      </w:r>
    </w:p>
    <w:p>
      <w:pPr>
        <w:pStyle w:val="ab"/>
        <w:numPr>
          <w:numId w:val="9"/>
        </w:numPr>
      </w:pPr>
      <w:r>
        <w:t>25:14 保险公司投资策略与风险控制</w:t>
      </w:r>
    </w:p>
    <w:p>
      <w:r>
        <w:rPr>
          <w:rFonts w:ascii="等线(中文正文)" w:hAnsi="等线(中文正文)" w:cs="等线(中文正文)" w:eastAsia="等线(中文正文)"/>
          <w:b w:val="false"/>
          <w:i w:val="false"/>
          <w:sz w:val="20"/>
        </w:rPr>
        <w:t>对话围绕保险公司投资策略展开，重点讨论了保险公司如何在追求投资收益的同时，控制风险以确保资产负债匹配。保险公司倾向于将大部分资产配置在固收类产品上，以维持稳定的利差水平，避免因权益类资产波动带来的风险。此外，监管指标对保险公司的投资决策产生重要影响，强调了风险控制在保险公司投资策略中的核心地位。</w:t>
      </w:r>
    </w:p>
    <w:p>
      <w:r>
        <w:rPr>
          <w:rFonts w:ascii="等线(中文正文)" w:hAnsi="等线(中文正文)" w:cs="等线(中文正文)" w:eastAsia="等线(中文正文)"/>
          <w:b w:val="false"/>
          <w:i w:val="false"/>
          <w:sz w:val="20"/>
        </w:rPr>
        <w:t/>
      </w:r>
    </w:p>
    <w:p>
      <w:pPr>
        <w:pStyle w:val="ab"/>
        <w:numPr>
          <w:numId w:val="10"/>
        </w:numPr>
      </w:pPr>
      <w:r>
        <w:t>30:21 保险公司投资收益与负债成本分析</w:t>
      </w:r>
    </w:p>
    <w:p>
      <w:r>
        <w:rPr>
          <w:rFonts w:ascii="等线(中文正文)" w:hAnsi="等线(中文正文)" w:cs="等线(中文正文)" w:eastAsia="等线(中文正文)"/>
          <w:b w:val="false"/>
          <w:i w:val="false"/>
          <w:sz w:val="20"/>
        </w:rPr>
        <w:t>对话深入探讨了保险公司投资收益的构成，包括净投资收益、股票买卖价差及交易性金融资产价格变动等，强调了股市波动对总投资收益的影响。同时，介绍了综合投资收益的概念，涉及净利润以外的公允价值变动。此外，讨论了保险公司负债成本的计算，如传统险、分红险和万能险的预定利率及实际结算利率，指出近年来行业变革导致预定利率频繁调整，负债成本持续下降，最终分析了利差的计算方式及其对保险公司盈利能力的影响。</w:t>
      </w:r>
    </w:p>
    <w:p>
      <w:r>
        <w:rPr>
          <w:rFonts w:ascii="等线(中文正文)" w:hAnsi="等线(中文正文)" w:cs="等线(中文正文)" w:eastAsia="等线(中文正文)"/>
          <w:b w:val="false"/>
          <w:i w:val="false"/>
          <w:sz w:val="20"/>
        </w:rPr>
        <w:t/>
      </w:r>
    </w:p>
    <w:p>
      <w:pPr>
        <w:pStyle w:val="ab"/>
        <w:numPr>
          <w:numId w:val="11"/>
        </w:numPr>
      </w:pPr>
      <w:r>
        <w:t>34:23 保险公司股价影响因素解析：利率与股市表现</w:t>
      </w:r>
    </w:p>
    <w:p>
      <w:r>
        <w:rPr>
          <w:rFonts w:ascii="等线(中文正文)" w:hAnsi="等线(中文正文)" w:cs="等线(中文正文)" w:eastAsia="等线(中文正文)"/>
          <w:b w:val="false"/>
          <w:i w:val="false"/>
          <w:sz w:val="20"/>
        </w:rPr>
        <w:t>对话深入探讨了保险公司股价的两大关键影响因素：长端利率和股市表现。保险公司盈利能力受利差影响，而利差又与长端利率紧密相关。经济周期上行时，保险公司投资端表现更佳，但利率下行时，保险公司面临再投资风险和资产收益下降的挑战。股市表现对保险公司股价影响显著，股市牛市对保险公司是重大利好。寿险公司因产品期限长，需穿越利率周期，面临较大经营风险，而产险公司退出市场相对容易。整体而言，保险公司股价受利率周期和股市波动双重影响，体现了较强的贝塔属性。</w:t>
      </w:r>
    </w:p>
    <w:p>
      <w:r>
        <w:rPr>
          <w:rFonts w:ascii="等线(中文正文)" w:hAnsi="等线(中文正文)" w:cs="等线(中文正文)" w:eastAsia="等线(中文正文)"/>
          <w:b w:val="false"/>
          <w:i w:val="false"/>
          <w:sz w:val="20"/>
        </w:rPr>
        <w:t/>
      </w:r>
    </w:p>
    <w:p>
      <w:pPr>
        <w:pStyle w:val="ab"/>
        <w:numPr>
          <w:numId w:val="12"/>
        </w:numPr>
      </w:pPr>
      <w:r>
        <w:t>40:17 保险公司业绩波动与新会计准则影响</w:t>
      </w:r>
    </w:p>
    <w:p>
      <w:r>
        <w:rPr>
          <w:rFonts w:ascii="等线(中文正文)" w:hAnsi="等线(中文正文)" w:cs="等线(中文正文)" w:eastAsia="等线(中文正文)"/>
          <w:b w:val="false"/>
          <w:i w:val="false"/>
          <w:sz w:val="20"/>
        </w:rPr>
        <w:t>对话探讨了保险公司业绩波动性，特别是新会计准则执行后，利润季度间波动幅度增大，以及保费增长对投资收益的影响。中国人寿二季度利润高达1100亿，但受股市波动影响显著。新准则下，交易性金融资产的直接利润反映加剧了波动。保险公司正探索稳定指标，如营运利润，以剔除权益收益率波动。保费增长对保险公司投资收益至关重要，但保险深度与密度分析复杂，难以直接判断市场空间。</w:t>
      </w:r>
    </w:p>
    <w:p>
      <w:r>
        <w:rPr>
          <w:rFonts w:ascii="等线(中文正文)" w:hAnsi="等线(中文正文)" w:cs="等线(中文正文)" w:eastAsia="等线(中文正文)"/>
          <w:b w:val="false"/>
          <w:i w:val="false"/>
          <w:sz w:val="20"/>
        </w:rPr>
        <w:t/>
      </w:r>
    </w:p>
    <w:p>
      <w:pPr>
        <w:pStyle w:val="ab"/>
        <w:numPr>
          <w:numId w:val="13"/>
        </w:numPr>
      </w:pPr>
      <w:r>
        <w:t>45:15 保险公司估值方法与挑战</w:t>
      </w:r>
    </w:p>
    <w:p>
      <w:r>
        <w:rPr>
          <w:rFonts w:ascii="等线(中文正文)" w:hAnsi="等线(中文正文)" w:cs="等线(中文正文)" w:eastAsia="等线(中文正文)"/>
          <w:b w:val="false"/>
          <w:i w:val="false"/>
          <w:sz w:val="20"/>
        </w:rPr>
        <w:t>讨论了保险公司独特的估值指标PV，即内涵价值与市值之比，强调了投资收益对保险公司的重要性及利差损、费差损等问题，分析了当前保险公司估值普遍偏低的原因及行业发展趋势。</w:t>
      </w:r>
    </w:p>
    <w:p>
      <w:r>
        <w:rPr>
          <w:rFonts w:ascii="等线(中文正文)" w:hAnsi="等线(中文正文)" w:cs="等线(中文正文)" w:eastAsia="等线(中文正文)"/>
          <w:b w:val="false"/>
          <w:i w:val="false"/>
          <w:sz w:val="20"/>
        </w:rPr>
        <w:t/>
      </w:r>
    </w:p>
    <w:p>
      <w:pPr>
        <w:pStyle w:val="ab"/>
        <w:numPr>
          <w:numId w:val="14"/>
        </w:numPr>
      </w:pPr>
      <w:r>
        <w:t>51:10 保险行业分析：寿险与产险的业务特点与盈利能力</w:t>
      </w:r>
    </w:p>
    <w:p>
      <w:r>
        <w:rPr>
          <w:rFonts w:ascii="等线(中文正文)" w:hAnsi="等线(中文正文)" w:cs="等线(中文正文)" w:eastAsia="等线(中文正文)"/>
          <w:b w:val="false"/>
          <w:i w:val="false"/>
          <w:sz w:val="20"/>
        </w:rPr>
        <w:t>对话围绕A股上市的五家保险公司展开，重点分析了寿险与产险的业务结构与盈利能力。寿险公司主要经营长期寿险产品，而产险公司则以一年期保费为主，关注综合成本率与投资收益。产险公司的综合成本率直接影响其承保盈利，而投资端收益则依赖于保费累积。此外，产险公司资产配置不受资产负债久期匹配限制，可配置长期资产。最后，提及了自然灾害对产险公司赔付率及综合成本率的影响。</w:t>
      </w:r>
    </w:p>
    <w:p>
      <w:r>
        <w:rPr>
          <w:rFonts w:ascii="等线(中文正文)" w:hAnsi="等线(中文正文)" w:cs="等线(中文正文)" w:eastAsia="等线(中文正文)"/>
          <w:b w:val="false"/>
          <w:i w:val="false"/>
          <w:sz w:val="20"/>
        </w:rPr>
        <w:t/>
      </w:r>
    </w:p>
    <w:p>
      <w:pPr>
        <w:pStyle w:val="ab"/>
        <w:numPr>
          <w:numId w:val="15"/>
        </w:numPr>
      </w:pPr>
      <w:r>
        <w:t>57:32 券商与保险业上市情况及收入结构分析</w:t>
      </w:r>
    </w:p>
    <w:p>
      <w:r>
        <w:rPr>
          <w:rFonts w:ascii="等线(中文正文)" w:hAnsi="等线(中文正文)" w:cs="等线(中文正文)" w:eastAsia="等线(中文正文)"/>
          <w:b w:val="false"/>
          <w:i w:val="false"/>
          <w:sz w:val="20"/>
        </w:rPr>
        <w:t>对话讨论了中国A股市场上市保险公司和券商的数量差异，指出券商上市数量远超保险公司。进一步分析了券商的主要收入来源，包括经济业务和承销业务，强调了经济业务占比的变化及佣金率下降趋势。同时提及了保险产品种类多样性和专业术语的复杂性，对比了券商收入结构的透明度。</w:t>
      </w:r>
    </w:p>
    <w:p>
      <w:r>
        <w:rPr>
          <w:rFonts w:ascii="等线(中文正文)" w:hAnsi="等线(中文正文)" w:cs="等线(中文正文)" w:eastAsia="等线(中文正文)"/>
          <w:b w:val="false"/>
          <w:i w:val="false"/>
          <w:sz w:val="20"/>
        </w:rPr>
        <w:t/>
      </w:r>
    </w:p>
    <w:p>
      <w:pPr>
        <w:pStyle w:val="ab"/>
        <w:numPr>
          <w:numId w:val="16"/>
        </w:numPr>
      </w:pPr>
      <w:r>
        <w:t>01:01:51 券商主要业务与市场影响因素分析</w:t>
      </w:r>
    </w:p>
    <w:p>
      <w:r>
        <w:rPr>
          <w:rFonts w:ascii="等线(中文正文)" w:hAnsi="等线(中文正文)" w:cs="等线(中文正文)" w:eastAsia="等线(中文正文)"/>
          <w:b w:val="false"/>
          <w:i w:val="false"/>
          <w:sz w:val="20"/>
        </w:rPr>
        <w:t>对话详细介绍了券商的主要业务分类，包括投行业务（如IPO和债券发行）、资管业务（包括券商自营业务和参控股基金公司）、资本中介业务（如股票质押和两融）以及自营交易（涉及股票和债券投资）。指出同行业务正向头部集中，资管业务在不同券商间存在显著差异，资本中介业务与银行类贷款模式相近，而自营业务已成为券商收入和利润的主要来源。最后，强调了券商业务表现与资本市场活跃度的紧密关联。</w:t>
      </w:r>
    </w:p>
    <w:p>
      <w:r>
        <w:rPr>
          <w:rFonts w:ascii="等线(中文正文)" w:hAnsi="等线(中文正文)" w:cs="等线(中文正文)" w:eastAsia="等线(中文正文)"/>
          <w:b w:val="false"/>
          <w:i w:val="false"/>
          <w:sz w:val="20"/>
        </w:rPr>
        <w:t/>
      </w:r>
    </w:p>
    <w:p>
      <w:pPr>
        <w:pStyle w:val="ab"/>
        <w:numPr>
          <w:numId w:val="17"/>
        </w:numPr>
      </w:pPr>
      <w:r>
        <w:t>01:07:19 券商行业属性与估值变迁探讨</w:t>
      </w:r>
    </w:p>
    <w:p>
      <w:r>
        <w:rPr>
          <w:rFonts w:ascii="等线(中文正文)" w:hAnsi="等线(中文正文)" w:cs="等线(中文正文)" w:eastAsia="等线(中文正文)"/>
          <w:b w:val="false"/>
          <w:i w:val="false"/>
          <w:sz w:val="20"/>
        </w:rPr>
        <w:t>对话深入探讨了券商行业属性的变化，包括盈利模式的转变、估值方式的演变以及业绩弹性的调整。指出券商股正逐渐展现出配置价值和防御属性，同时分析了行业佣金率下降、重资产业务增加对业绩弹性及股票贝塔属性的影响。</w:t>
      </w:r>
    </w:p>
    <w:p>
      <w:r>
        <w:rPr>
          <w:rFonts w:ascii="等线(中文正文)" w:hAnsi="等线(中文正文)" w:cs="等线(中文正文)" w:eastAsia="等线(中文正文)"/>
          <w:b w:val="false"/>
          <w:i w:val="false"/>
          <w:sz w:val="20"/>
        </w:rPr>
        <w:t/>
      </w:r>
    </w:p>
    <w:p>
      <w:pPr>
        <w:pStyle w:val="ab"/>
        <w:numPr>
          <w:numId w:val="18"/>
        </w:numPr>
      </w:pPr>
      <w:r>
        <w:t>01:11:41 券商行业分析与估值探讨</w:t>
      </w:r>
    </w:p>
    <w:p>
      <w:r>
        <w:rPr>
          <w:rFonts w:ascii="等线(中文正文)" w:hAnsi="等线(中文正文)" w:cs="等线(中文正文)" w:eastAsia="等线(中文正文)"/>
          <w:b w:val="false"/>
          <w:i w:val="false"/>
          <w:sz w:val="20"/>
        </w:rPr>
        <w:t>对话围绕券商行业的业务发展趋势、上市公司竞争力分析展开，重点讨论了核心竞争力构成、不同类型券商的经营策略以及业绩预测和估值方法，特别强调了中小型券商的差异化经营路径及投资业务对估值的影响。</w:t>
      </w:r>
    </w:p>
    <w:p>
      <w:r>
        <w:rPr>
          <w:rFonts w:ascii="等线(中文正文)" w:hAnsi="等线(中文正文)" w:cs="等线(中文正文)" w:eastAsia="等线(中文正文)"/>
          <w:b w:val="false"/>
          <w:i w:val="false"/>
          <w:sz w:val="20"/>
        </w:rPr>
        <w:t/>
      </w:r>
    </w:p>
    <w:p>
      <w:pPr>
        <w:pStyle w:val="ab"/>
        <w:numPr>
          <w:numId w:val="19"/>
        </w:numPr>
      </w:pPr>
      <w:r>
        <w:t>01:15:51 券商研究特点与未来配置意义</w:t>
      </w:r>
    </w:p>
    <w:p>
      <w:r>
        <w:rPr>
          <w:rFonts w:ascii="等线(中文正文)" w:hAnsi="等线(中文正文)" w:cs="等线(中文正文)" w:eastAsia="等线(中文正文)"/>
          <w:b w:val="false"/>
          <w:i w:val="false"/>
          <w:sz w:val="20"/>
        </w:rPr>
        <w:t>对话深入探讨了券商研究的直接性与实时数据获取优势，指出头部券商优势显著，中型券商需侧重特色化业务。未来券商配置意义重大，行业研究涵盖历史估值、业务结构及金融科技变迁等，建议持续关注行业动态。</w:t>
      </w:r>
    </w:p>
    <w:p>
      <w:r>
        <w:rPr>
          <w:rFonts w:ascii="等线(中文正文)" w:hAnsi="等线(中文正文)" w:cs="等线(中文正文)" w:eastAsia="等线(中文正文)"/>
          <w:b w:val="false"/>
          <w:i w:val="false"/>
          <w:sz w:val="20"/>
        </w:rPr>
        <w:t/>
      </w:r>
    </w:p>
    <w:p>
      <w:pPr>
        <w:pStyle w:val="a7"/>
      </w:pPr>
      <w:r>
        <w:t>发言总结</w:t>
      </w:r>
    </w:p>
    <w:p>
      <w:pPr>
        <w:pStyle w:val="ab"/>
        <w:numPr>
          <w:numId w:val="20"/>
        </w:numPr>
      </w:pPr>
      <w:r>
        <w:t>发言人1</w:t>
      </w:r>
    </w:p>
    <w:p>
      <w:r>
        <w:rPr>
          <w:rFonts w:ascii="等线(中文正文)" w:hAnsi="等线(中文正文)" w:cs="等线(中文正文)" w:eastAsia="等线(中文正文)"/>
          <w:b w:val="false"/>
          <w:i w:val="false"/>
          <w:sz w:val="20"/>
        </w:rPr>
        <w:t>首先讨论了券商的主要业务类型，包括资本中介、自营交易和经纪业务，强调这些业务与资本市场活跃度密切相关，券商的收入和利润高度依赖于市场表现。他还提到券商估值方式的变化，从PE估值转向PD估值，考虑到资本金要求。接着，他指出头部券商与中小券商的业务模式差异，强调中小券商可通过差异化经营实现特色化发展。最后，他提及头部和中型券商的发展策略、业务创新以及金融科技的应用将是未来重点。
此外，他介绍了东风风行公司即将推出的新产品，强调新产品旨在满足消费者对环保、智能驾驶和舒适性的需求，彰显公司推动汽车行业绿色转型的决心。他还分享了公司未来的发展规划，包括全球市场拓展和构建全球化品牌，强调员工培训和企业文化建设的重要性。
面对市场挑战，他认为具备创新能力和品牌影响力的公司能脱颖而出，强调东风风行公司将通过持续研发、市场细分和消费者体验优化来应对挑战，确保长期成功和可持续发展。最后，他表达了对东风风行公司未来发展的信心，呼吁全体员工共同努力，实现公司愿景和目标。</w:t>
      </w:r>
    </w:p>
    <w:p>
      <w:r>
        <w:rPr>
          <w:rFonts w:ascii="等线(中文正文)" w:hAnsi="等线(中文正文)" w:cs="等线(中文正文)" w:eastAsia="等线(中文正文)"/>
          <w:b w:val="false"/>
          <w:i w:val="false"/>
          <w:sz w:val="20"/>
        </w:rPr>
        <w:t/>
      </w:r>
    </w:p>
    <w:p>
      <w:pPr>
        <w:pStyle w:val="a7"/>
      </w:pPr>
      <w:r>
        <w:t>要点回顾</w:t>
      </w:r>
    </w:p>
    <w:p>
      <w:pPr>
        <w:pStyle w:val="ab"/>
      </w:pPr>
      <w:r>
        <w:t>保险行业研究框架及行业现状的主要内容是什么？</w:t>
      </w:r>
    </w:p>
    <w:p>
      <w:r>
        <w:rPr>
          <w:rFonts w:ascii="等线(中文正文)" w:hAnsi="等线(中文正文)" w:cs="等线(中文正文)" w:eastAsia="等线(中文正文)"/>
          <w:b w:val="false"/>
          <w:i w:val="false"/>
          <w:sz w:val="20"/>
        </w:rPr>
        <w:t>发言人1：我们团队将从8月10日持续至九月的中下旬，每天（包括周日）为投资者带来非银金融领域，特别是保险、券商和金融科技细分行业的现状、历史及未来展望等内容。我们将深入分析保险和券商两个子行业，从行业发展现状、估值方法、股价影响因素等方面进行解读，并回顾相关上市公司的股价复盘以及公司深度解读。</w:t>
      </w:r>
    </w:p>
    <w:p>
      <w:r>
        <w:rPr>
          <w:rFonts w:ascii="等线(中文正文)" w:hAnsi="等线(中文正文)" w:cs="等线(中文正文)" w:eastAsia="等线(中文正文)"/>
          <w:b w:val="false"/>
          <w:i w:val="false"/>
          <w:sz w:val="20"/>
        </w:rPr>
        <w:t/>
      </w:r>
    </w:p>
    <w:p>
      <w:pPr>
        <w:pStyle w:val="ab"/>
      </w:pPr>
      <w:r>
        <w:t>保险行业的主要研究内容有哪些方面？年金保险在保险行业中扮演了怎样的角色，其发展趋势如何？</w:t>
      </w:r>
    </w:p>
    <w:p>
      <w:r>
        <w:rPr>
          <w:rFonts w:ascii="等线(中文正文)" w:hAnsi="等线(中文正文)" w:cs="等线(中文正文)" w:eastAsia="等线(中文正文)"/>
          <w:b w:val="false"/>
          <w:i w:val="false"/>
          <w:sz w:val="20"/>
        </w:rPr>
        <w:t>发言人1：首先，我们将从保险产品的类型和盈利模式开始讲解，然后过渡到行业发展现状、估值方法以及股价影响因素。其中，重点会放在人身险的分类上，包括人寿保险、健康保险（如疾病保险和医疗保险）、意外险和年金保险四大类，并结合行业数据和资产分布情况进行详细说明。年金保险虽然放在人身险四大类的最后一类，但目前其在行业存量保费和新增保费中占据主导地位，成为主流产品。这与传统观念中保障类保险为主的发展趋势有所不同，反映出消费者对于储蓄理财类保险需求的增长，不仅是国内，也是全球范围内的一种发展趋势。</w:t>
      </w:r>
    </w:p>
    <w:p>
      <w:r>
        <w:rPr>
          <w:rFonts w:ascii="等线(中文正文)" w:hAnsi="等线(中文正文)" w:cs="等线(中文正文)" w:eastAsia="等线(中文正文)"/>
          <w:b w:val="false"/>
          <w:i w:val="false"/>
          <w:sz w:val="20"/>
        </w:rPr>
        <w:t/>
      </w:r>
    </w:p>
    <w:p>
      <w:pPr>
        <w:pStyle w:val="ab"/>
      </w:pPr>
      <w:r>
        <w:t>为什么在讨论保险行业时，产险和寿险会有明显的体量差异？</w:t>
      </w:r>
    </w:p>
    <w:p>
      <w:r>
        <w:rPr>
          <w:rFonts w:ascii="等线(中文正文)" w:hAnsi="等线(中文正文)" w:cs="等线(中文正文)" w:eastAsia="等线(中文正文)"/>
          <w:b w:val="false"/>
          <w:i w:val="false"/>
          <w:sz w:val="20"/>
        </w:rPr>
        <w:t>发言人1：保费收入方面，寿险约为5万亿保费中的3万多亿，产险约为2万亿，呈现约2比1的比例。但从总资产角度看，保险行业总规模约为42万亿，其中寿险占比高达90%左右，产险占比相对较小。因此，在分析行业资产结构时，更侧重于寿险业务。</w:t>
      </w:r>
    </w:p>
    <w:p>
      <w:r>
        <w:rPr>
          <w:rFonts w:ascii="等线(中文正文)" w:hAnsi="等线(中文正文)" w:cs="等线(中文正文)" w:eastAsia="等线(中文正文)"/>
          <w:b w:val="false"/>
          <w:i w:val="false"/>
          <w:sz w:val="20"/>
        </w:rPr>
        <w:t/>
      </w:r>
    </w:p>
    <w:p>
      <w:pPr>
        <w:pStyle w:val="ab"/>
      </w:pPr>
      <w:r>
        <w:t>如何通过具体的保险产品案例来理解不同类型的保险责任？</w:t>
      </w:r>
    </w:p>
    <w:p>
      <w:r>
        <w:rPr>
          <w:rFonts w:ascii="等线(中文正文)" w:hAnsi="等线(中文正文)" w:cs="等线(中文正文)" w:eastAsia="等线(中文正文)"/>
          <w:b w:val="false"/>
          <w:i w:val="false"/>
          <w:sz w:val="20"/>
        </w:rPr>
        <w:t>发言人1：举例来说，人寿保险中的定寿产品是一种消费型保险，保障期限固定，保费相对较低；而健康保险如重大疾病保险，则提供一定期限内的保障，并在约定疾病发生时赔付相应保额，同时可能存在终身保障的产品，如终身寿险附加重疾险，不仅覆盖死亡，还涵盖重大疾病保障。意外险则针对特定意外事件提供高杠杆保障，且赔付条件相对明确。年金保险则根据年度领取约定，可视为一种储蓄理财工具，期限通常较长且受监管限制。</w:t>
      </w:r>
    </w:p>
    <w:p>
      <w:r>
        <w:rPr>
          <w:rFonts w:ascii="等线(中文正文)" w:hAnsi="等线(中文正文)" w:cs="等线(中文正文)" w:eastAsia="等线(中文正文)"/>
          <w:b w:val="false"/>
          <w:i w:val="false"/>
          <w:sz w:val="20"/>
        </w:rPr>
        <w:t/>
      </w:r>
    </w:p>
    <w:p>
      <w:pPr>
        <w:pStyle w:val="ab"/>
      </w:pPr>
      <w:r>
        <w:t>传统险、分红险和万能险的区别是什么？</w:t>
      </w:r>
    </w:p>
    <w:p>
      <w:r>
        <w:rPr>
          <w:rFonts w:ascii="等线(中文正文)" w:hAnsi="等线(中文正文)" w:cs="等线(中文正文)" w:eastAsia="等线(中文正文)"/>
          <w:b w:val="false"/>
          <w:i w:val="false"/>
          <w:sz w:val="20"/>
        </w:rPr>
        <w:t>发言人1：传统险通常约定预定利率，超额收益归保险公司，若投资收益率低于预定利率，则亏损由保险公司承担，保底利率较低，适合风险偏好较低的客户。分红险与传统险类似但设有固定比例分配超额收益，且保底利率更低。万能险没有固定比例，结算利率由保险公司自行确定，并且保底利率更低，客户承担更多投资风险，但灵活性较高。</w:t>
      </w:r>
    </w:p>
    <w:p>
      <w:r>
        <w:rPr>
          <w:rFonts w:ascii="等线(中文正文)" w:hAnsi="等线(中文正文)" w:cs="等线(中文正文)" w:eastAsia="等线(中文正文)"/>
          <w:b w:val="false"/>
          <w:i w:val="false"/>
          <w:sz w:val="20"/>
        </w:rPr>
        <w:t/>
      </w:r>
    </w:p>
    <w:p>
      <w:pPr>
        <w:pStyle w:val="ab"/>
      </w:pPr>
      <w:r>
        <w:t>在保险行业中，缴费模式有哪些？</w:t>
      </w:r>
    </w:p>
    <w:p>
      <w:r>
        <w:rPr>
          <w:rFonts w:ascii="等线(中文正文)" w:hAnsi="等线(中文正文)" w:cs="等线(中文正文)" w:eastAsia="等线(中文正文)"/>
          <w:b w:val="false"/>
          <w:i w:val="false"/>
          <w:sz w:val="20"/>
        </w:rPr>
        <w:t>发言人1：缴费模式主要有两种，一种是一次性缴费（准缴），另一种是分期缴费，比如十年缴或二十年缴。同时，也可以选择一次性将所有保费交给保险公司。</w:t>
      </w:r>
    </w:p>
    <w:p>
      <w:r>
        <w:rPr>
          <w:rFonts w:ascii="等线(中文正文)" w:hAnsi="等线(中文正文)" w:cs="等线(中文正文)" w:eastAsia="等线(中文正文)"/>
          <w:b w:val="false"/>
          <w:i w:val="false"/>
          <w:sz w:val="20"/>
        </w:rPr>
        <w:t/>
      </w:r>
    </w:p>
    <w:p>
      <w:pPr>
        <w:pStyle w:val="ab"/>
      </w:pPr>
      <w:r>
        <w:t>为什么按照产品特征对保险行业进行分类在二级市场分析中很重要？</w:t>
      </w:r>
    </w:p>
    <w:p>
      <w:r>
        <w:rPr>
          <w:rFonts w:ascii="等线(中文正文)" w:hAnsi="等线(中文正文)" w:cs="等线(中文正文)" w:eastAsia="等线(中文正文)"/>
          <w:b w:val="false"/>
          <w:i w:val="false"/>
          <w:sz w:val="20"/>
        </w:rPr>
        <w:t>发言人1：因为按照产品特征分类能够帮助分析人员更好地理解各类产品的超额收益分配情况以及各类型产品的盈利能力，这对于评估上市公司的盈利能力具有重要意义。目前，主要的产品特征分类包括传统险、分红险、万能险和投连险。</w:t>
      </w:r>
    </w:p>
    <w:p>
      <w:r>
        <w:rPr>
          <w:rFonts w:ascii="等线(中文正文)" w:hAnsi="等线(中文正文)" w:cs="等线(中文正文)" w:eastAsia="等线(中文正文)"/>
          <w:b w:val="false"/>
          <w:i w:val="false"/>
          <w:sz w:val="20"/>
        </w:rPr>
        <w:t/>
      </w:r>
    </w:p>
    <w:p>
      <w:pPr>
        <w:pStyle w:val="ab"/>
      </w:pPr>
      <w:r>
        <w:t>目前保险行业产品以什么类型为主？</w:t>
      </w:r>
    </w:p>
    <w:p>
      <w:r>
        <w:rPr>
          <w:rFonts w:ascii="等线(中文正文)" w:hAnsi="等线(中文正文)" w:cs="等线(中文正文)" w:eastAsia="等线(中文正文)"/>
          <w:b w:val="false"/>
          <w:i w:val="false"/>
          <w:sz w:val="20"/>
        </w:rPr>
        <w:t>发言人1：目前，传统险和分红险仍然是保费收入的主要来源，但行业产品结构正在发生切换，从传统险占据百分百市场份额到逐渐转变为传统险与分红险各占一半，再到目前接近百分百的传统险。</w:t>
      </w:r>
    </w:p>
    <w:p>
      <w:r>
        <w:rPr>
          <w:rFonts w:ascii="等线(中文正文)" w:hAnsi="等线(中文正文)" w:cs="等线(中文正文)" w:eastAsia="等线(中文正文)"/>
          <w:b w:val="false"/>
          <w:i w:val="false"/>
          <w:sz w:val="20"/>
        </w:rPr>
        <w:t/>
      </w:r>
    </w:p>
    <w:p>
      <w:pPr>
        <w:pStyle w:val="ab"/>
      </w:pPr>
      <w:r>
        <w:t>在保险行业中，利差对保险公司盈利能力的影响如何？</w:t>
      </w:r>
    </w:p>
    <w:p>
      <w:r>
        <w:rPr>
          <w:rFonts w:ascii="等线(中文正文)" w:hAnsi="等线(中文正文)" w:cs="等线(中文正文)" w:eastAsia="等线(中文正文)"/>
          <w:b w:val="false"/>
          <w:i w:val="false"/>
          <w:sz w:val="20"/>
        </w:rPr>
        <w:t>发言人1：对于保险公司而言，利差是其利润来源中的重要组成部分，尤其在当前投资收益率假设为4%左右的情况下，保险公司通过投资收益与负债成本之间的利差获取利润。随着利率下降，投资收益率降低，保险公司的利差收益会相应减少，但仍然在很大程度上决定了其盈利能力。</w:t>
      </w:r>
    </w:p>
    <w:p>
      <w:r>
        <w:rPr>
          <w:rFonts w:ascii="等线(中文正文)" w:hAnsi="等线(中文正文)" w:cs="等线(中文正文)" w:eastAsia="等线(中文正文)"/>
          <w:b w:val="false"/>
          <w:i w:val="false"/>
          <w:sz w:val="20"/>
        </w:rPr>
        <w:t/>
      </w:r>
    </w:p>
    <w:p>
      <w:pPr>
        <w:pStyle w:val="ab"/>
      </w:pPr>
      <w:r>
        <w:t>保险公司如何盈利，其利润来源有哪些？</w:t>
      </w:r>
    </w:p>
    <w:p>
      <w:r>
        <w:rPr>
          <w:rFonts w:ascii="等线(中文正文)" w:hAnsi="等线(中文正文)" w:cs="等线(中文正文)" w:eastAsia="等线(中文正文)"/>
          <w:b w:val="false"/>
          <w:i w:val="false"/>
          <w:sz w:val="20"/>
        </w:rPr>
        <w:t>发言人1：保险公司的利润来源主要来自利差、死差和费差三个方面。其中，利差是指保险公司通过收取保费并投资获取投资收益，然后扣除负债成本（如银行存款利率等）后的差额；死差和费差则是基于实际死亡率、发病率与预期死亡率、费用率之间的差异产生的损益。</w:t>
      </w:r>
    </w:p>
    <w:p>
      <w:r>
        <w:rPr>
          <w:rFonts w:ascii="等线(中文正文)" w:hAnsi="等线(中文正文)" w:cs="等线(中文正文)" w:eastAsia="等线(中文正文)"/>
          <w:b w:val="false"/>
          <w:i w:val="false"/>
          <w:sz w:val="20"/>
        </w:rPr>
        <w:t/>
      </w:r>
    </w:p>
    <w:p>
      <w:pPr>
        <w:pStyle w:val="ab"/>
      </w:pPr>
      <w:r>
        <w:t>保险公司投资结构是怎样的，为何不将所有资产都配置为二级市场权益？</w:t>
      </w:r>
    </w:p>
    <w:p>
      <w:r>
        <w:rPr>
          <w:rFonts w:ascii="等线(中文正文)" w:hAnsi="等线(中文正文)" w:cs="等线(中文正文)" w:eastAsia="等线(中文正文)"/>
          <w:b w:val="false"/>
          <w:i w:val="false"/>
          <w:sz w:val="20"/>
        </w:rPr>
        <w:t>发言人1：保险公司的投资结构中，大约70%配置在固收类资产，如债券、银行存款和少量非标（主要以前信托为主，现在减少），30%配置在权益类资产，包括二级市场权益（股票、公募基金）和长期股权投资。不将所有资产配成权益的原因在于风险控制和监管约束。虽然权益类资产的年化收益率通常更高，但其波动性也较大，对保险公司来说，如果大量配置权益且市场出现波动，可能造成较大的负面影响，甚至导致利差转负。此外，保险公司还受到偿付能力等监管指标的限制，并需在获取投资收益与控制风险、资产负债匹配之间寻求平衡。</w:t>
      </w:r>
    </w:p>
    <w:p>
      <w:r>
        <w:rPr>
          <w:rFonts w:ascii="等线(中文正文)" w:hAnsi="等线(中文正文)" w:cs="等线(中文正文)" w:eastAsia="等线(中文正文)"/>
          <w:b w:val="false"/>
          <w:i w:val="false"/>
          <w:sz w:val="20"/>
        </w:rPr>
        <w:t/>
      </w:r>
    </w:p>
    <w:p>
      <w:pPr>
        <w:pStyle w:val="ab"/>
      </w:pPr>
      <w:r>
        <w:t>保险公司的利差是如何计算的？</w:t>
      </w:r>
    </w:p>
    <w:p>
      <w:r>
        <w:rPr>
          <w:rFonts w:ascii="等线(中文正文)" w:hAnsi="等线(中文正文)" w:cs="等线(中文正文)" w:eastAsia="等线(中文正文)"/>
          <w:b w:val="false"/>
          <w:i w:val="false"/>
          <w:sz w:val="20"/>
        </w:rPr>
        <w:t>发言人1：利差等于投资收益减去负债成本，其中投资收益是保险公司整体的投资回报，而负债成本则取决于不同类型的保险产品，如传统险的预定利率、分红险的保底利率与超额收益分配、万能险的结算利率等。近年来，随着预定利率的变化以及经济环境的波动，保险公司的利差也相应产生变化。</w:t>
      </w:r>
    </w:p>
    <w:p>
      <w:r>
        <w:rPr>
          <w:rFonts w:ascii="等线(中文正文)" w:hAnsi="等线(中文正文)" w:cs="等线(中文正文)" w:eastAsia="等线(中文正文)"/>
          <w:b w:val="false"/>
          <w:i w:val="false"/>
          <w:sz w:val="20"/>
        </w:rPr>
        <w:t/>
      </w:r>
    </w:p>
    <w:p>
      <w:pPr>
        <w:pStyle w:val="ab"/>
      </w:pPr>
      <w:r>
        <w:t>保险公司的净投资收益率和总投资收益率有何区别？</w:t>
      </w:r>
    </w:p>
    <w:p>
      <w:r>
        <w:rPr>
          <w:rFonts w:ascii="等线(中文正文)" w:hAnsi="等线(中文正文)" w:cs="等线(中文正文)" w:eastAsia="等线(中文正文)"/>
          <w:b w:val="false"/>
          <w:i w:val="false"/>
          <w:sz w:val="20"/>
        </w:rPr>
        <w:t>发言人1：净投资收益率是指银行存款利息、债券利息、股票股息和基金分红等相对稳定的收益，近年来该收益率持续下降，从十年前的5%左右降至目前3.3%附近。而总投资收益（财务投资收益）则在此基础上加上了股票买卖价差及交易性金融资产的价格变动，年度间波动幅度更大，主要受股市影响。</w:t>
      </w:r>
    </w:p>
    <w:p>
      <w:r>
        <w:rPr>
          <w:rFonts w:ascii="等线(中文正文)" w:hAnsi="等线(中文正文)" w:cs="等线(中文正文)" w:eastAsia="等线(中文正文)"/>
          <w:b w:val="false"/>
          <w:i w:val="false"/>
          <w:sz w:val="20"/>
        </w:rPr>
        <w:t/>
      </w:r>
    </w:p>
    <w:p>
      <w:pPr>
        <w:pStyle w:val="ab"/>
      </w:pPr>
      <w:r>
        <w:t>保险公司的综合投资收益如何定义？</w:t>
      </w:r>
    </w:p>
    <w:p>
      <w:r>
        <w:rPr>
          <w:rFonts w:ascii="等线(中文正文)" w:hAnsi="等线(中文正文)" w:cs="等线(中文正文)" w:eastAsia="等线(中文正文)"/>
          <w:b w:val="false"/>
          <w:i w:val="false"/>
          <w:sz w:val="20"/>
        </w:rPr>
        <w:t>发言人1：综合投资收益是在净投资收益基础上，加上股票买卖价差、交易性金融资产公允价值变动，以及OCI（其他综合收益）中的债券和股票公允价值变动。这一指标反映了保险公司全面的投资收益情况，但在净利润之前体现。</w:t>
      </w:r>
    </w:p>
    <w:p>
      <w:r>
        <w:rPr>
          <w:rFonts w:ascii="等线(中文正文)" w:hAnsi="等线(中文正文)" w:cs="等线(中文正文)" w:eastAsia="等线(中文正文)"/>
          <w:b w:val="false"/>
          <w:i w:val="false"/>
          <w:sz w:val="20"/>
        </w:rPr>
        <w:t/>
      </w:r>
    </w:p>
    <w:p>
      <w:pPr>
        <w:pStyle w:val="ab"/>
      </w:pPr>
      <w:r>
        <w:t>利率周期对保险公司的影响为何如此重大？</w:t>
      </w:r>
    </w:p>
    <w:p>
      <w:r>
        <w:rPr>
          <w:rFonts w:ascii="等线(中文正文)" w:hAnsi="等线(中文正文)" w:cs="等线(中文正文)" w:eastAsia="等线(中文正文)"/>
          <w:b w:val="false"/>
          <w:i w:val="false"/>
          <w:sz w:val="20"/>
        </w:rPr>
        <w:t>发言人1：保险公司在利率周期中的表现受长端利率和股市表现的影响显著。在经济周期上升阶段，保险公司能够获取较高的投资收益；而在利率下行时，由于负债成本难以快速下降，而资产端再投资面临的风险和收益却在快速下降，可能导致利差损风险。尤其对于寿险公司而言，由于产品期限长且需要穿越利率周期，因此利率波动对其经营风险影响尤为突出。</w:t>
      </w:r>
    </w:p>
    <w:p>
      <w:r>
        <w:rPr>
          <w:rFonts w:ascii="等线(中文正文)" w:hAnsi="等线(中文正文)" w:cs="等线(中文正文)" w:eastAsia="等线(中文正文)"/>
          <w:b w:val="false"/>
          <w:i w:val="false"/>
          <w:sz w:val="20"/>
        </w:rPr>
        <w:t/>
      </w:r>
    </w:p>
    <w:p>
      <w:pPr>
        <w:pStyle w:val="ab"/>
      </w:pPr>
      <w:r>
        <w:t>在新会计准则执行后，保险公司的利润波动有何变化？</w:t>
      </w:r>
    </w:p>
    <w:p>
      <w:r>
        <w:rPr>
          <w:rFonts w:ascii="等线(中文正文)" w:hAnsi="等线(中文正文)" w:cs="等线(中文正文)" w:eastAsia="等线(中文正文)"/>
          <w:b w:val="false"/>
          <w:i w:val="false"/>
          <w:sz w:val="20"/>
        </w:rPr>
        <w:t>发言人1：新会计准则实施后，保险公司的利润波动幅度变大。以前保险公司的股票和基金投资放在可控出售金融资产中，只有买卖行为才会导致浮盈浮亏体现在当期利润中。而现在，按照新准则，保险公司将大量股票及所有公募基金归入交易性金融资产，股价波动直接反映在当期利润内，无需通过买卖行为，从而使得利润季度之间的波动幅度大幅扩大。</w:t>
      </w:r>
    </w:p>
    <w:p>
      <w:r>
        <w:rPr>
          <w:rFonts w:ascii="等线(中文正文)" w:hAnsi="等线(中文正文)" w:cs="等线(中文正文)" w:eastAsia="等线(中文正文)"/>
          <w:b w:val="false"/>
          <w:i w:val="false"/>
          <w:sz w:val="20"/>
        </w:rPr>
        <w:t/>
      </w:r>
    </w:p>
    <w:p>
      <w:pPr>
        <w:pStyle w:val="ab"/>
      </w:pPr>
      <w:r>
        <w:t>面对新会计准则下的利润波动，各家保险公司如何应对？</w:t>
      </w:r>
    </w:p>
    <w:p>
      <w:r>
        <w:rPr>
          <w:rFonts w:ascii="等线(中文正文)" w:hAnsi="等线(中文正文)" w:cs="等线(中文正文)" w:eastAsia="等线(中文正文)"/>
          <w:b w:val="false"/>
          <w:i w:val="false"/>
          <w:sz w:val="20"/>
        </w:rPr>
        <w:t>发言人1：各家保险公司如中国平安、中国太保和港股的国安保险等正在寻找其他相对稳定的指标来剔除权益收益率的影响，比如披露营运利润概念，以提供更稳定的业绩参考。</w:t>
      </w:r>
    </w:p>
    <w:p>
      <w:r>
        <w:rPr>
          <w:rFonts w:ascii="等线(中文正文)" w:hAnsi="等线(中文正文)" w:cs="等线(中文正文)" w:eastAsia="等线(中文正文)"/>
          <w:b w:val="false"/>
          <w:i w:val="false"/>
          <w:sz w:val="20"/>
        </w:rPr>
        <w:t/>
      </w:r>
    </w:p>
    <w:p>
      <w:pPr>
        <w:pStyle w:val="ab"/>
      </w:pPr>
      <w:r>
        <w:t>保费增长对于保险公司投资收益的影响是什么？</w:t>
      </w:r>
    </w:p>
    <w:p>
      <w:r>
        <w:rPr>
          <w:rFonts w:ascii="等线(中文正文)" w:hAnsi="等线(中文正文)" w:cs="等线(中文正文)" w:eastAsia="等线(中文正文)"/>
          <w:b w:val="false"/>
          <w:i w:val="false"/>
          <w:sz w:val="20"/>
        </w:rPr>
        <w:t>发言人1：保费增长是保险公司成长性的重要考量因素。保险公司获取保费后沉淀为投资资产，进而进行投资以赚取收益。因此，保费增长直接影响到保险公司的投资端表现和整体盈利能力。</w:t>
      </w:r>
    </w:p>
    <w:p>
      <w:r>
        <w:rPr>
          <w:rFonts w:ascii="等线(中文正文)" w:hAnsi="等线(中文正文)" w:cs="等线(中文正文)" w:eastAsia="等线(中文正文)"/>
          <w:b w:val="false"/>
          <w:i w:val="false"/>
          <w:sz w:val="20"/>
        </w:rPr>
        <w:t/>
      </w:r>
    </w:p>
    <w:p>
      <w:pPr>
        <w:pStyle w:val="ab"/>
      </w:pPr>
      <w:r>
        <w:t>保险深度、保险密度是否能准确反映中国保险业的空间大小？</w:t>
      </w:r>
    </w:p>
    <w:p>
      <w:r>
        <w:rPr>
          <w:rFonts w:ascii="等线(中文正文)" w:hAnsi="等线(中文正文)" w:cs="等线(中文正文)" w:eastAsia="等线(中文正文)"/>
          <w:b w:val="false"/>
          <w:i w:val="false"/>
          <w:sz w:val="20"/>
        </w:rPr>
        <w:t>发言人1：保险深度、保险密度虽常被用于预测保障类产品需求，但受各国社保制度、医保制度及监管政策等复杂因素影响，仅比较保险深度、密度并不能直接判断中国保险业的空间大小，且近年来储蓄类保单更依赖居民财富配置，使得这些指标的参考价值有所降低。</w:t>
      </w:r>
    </w:p>
    <w:p>
      <w:r>
        <w:rPr>
          <w:rFonts w:ascii="等线(中文正文)" w:hAnsi="等线(中文正文)" w:cs="等线(中文正文)" w:eastAsia="等线(中文正文)"/>
          <w:b w:val="false"/>
          <w:i w:val="false"/>
          <w:sz w:val="20"/>
        </w:rPr>
        <w:t/>
      </w:r>
    </w:p>
    <w:p>
      <w:pPr>
        <w:pStyle w:val="ab"/>
      </w:pPr>
      <w:r>
        <w:t>保险公司估值的独特之处是什么？</w:t>
      </w:r>
    </w:p>
    <w:p>
      <w:r>
        <w:rPr>
          <w:rFonts w:ascii="等线(中文正文)" w:hAnsi="等线(中文正文)" w:cs="等线(中文正文)" w:eastAsia="等线(中文正文)"/>
          <w:b w:val="false"/>
          <w:i w:val="false"/>
          <w:sz w:val="20"/>
        </w:rPr>
        <w:t>发言人1：保险公司的估值采用独特的PV（或EV）指标，而非传统意义上的PE或PB。PV（或EV）反映的是保险公司有效业务价值，即存量保单的价值，因为寿险产品的寿命周期长，除了净资产外还包含了未来持续的保费流入、投资收益和赔付，这使得保险公司的清算价值高于其他公司，所以使用PEV进行估值。</w:t>
      </w:r>
    </w:p>
    <w:p>
      <w:r>
        <w:rPr>
          <w:rFonts w:ascii="等线(中文正文)" w:hAnsi="等线(中文正文)" w:cs="等线(中文正文)" w:eastAsia="等线(中文正文)"/>
          <w:b w:val="false"/>
          <w:i w:val="false"/>
          <w:sz w:val="20"/>
        </w:rPr>
        <w:t/>
      </w:r>
    </w:p>
    <w:p>
      <w:pPr>
        <w:pStyle w:val="ab"/>
      </w:pPr>
      <w:r>
        <w:t>产险公司的估值方法有何特点？</w:t>
      </w:r>
    </w:p>
    <w:p>
      <w:r>
        <w:rPr>
          <w:rFonts w:ascii="等线(中文正文)" w:hAnsi="等线(中文正文)" w:cs="等线(中文正文)" w:eastAsia="等线(中文正文)"/>
          <w:b w:val="false"/>
          <w:i w:val="false"/>
          <w:sz w:val="20"/>
        </w:rPr>
        <w:t>发言人1：产险公司的估值主要采用常规的PE，其业务特点是一年期保费对应未来一年的费用和赔付。综合成本率是产险公司最重要的指标，它衡量每张保单的整体成本，减去综合成本率即为承保利润。产险公司虽也有投资，但其核心竞争力仍体现在综合成本率上。</w:t>
      </w:r>
    </w:p>
    <w:p>
      <w:r>
        <w:rPr>
          <w:rFonts w:ascii="等线(中文正文)" w:hAnsi="等线(中文正文)" w:cs="等线(中文正文)" w:eastAsia="等线(中文正文)"/>
          <w:b w:val="false"/>
          <w:i w:val="false"/>
          <w:sz w:val="20"/>
        </w:rPr>
        <w:t/>
      </w:r>
    </w:p>
    <w:p>
      <w:pPr>
        <w:pStyle w:val="ab"/>
      </w:pPr>
      <w:r>
        <w:t>产险公司在进行资产配置时，是否面临资产负债久期匹配的问题？</w:t>
      </w:r>
    </w:p>
    <w:p>
      <w:r>
        <w:rPr>
          <w:rFonts w:ascii="等线(中文正文)" w:hAnsi="等线(中文正文)" w:cs="等线(中文正文)" w:eastAsia="等线(中文正文)"/>
          <w:b w:val="false"/>
          <w:i w:val="false"/>
          <w:sz w:val="20"/>
        </w:rPr>
        <w:t>发言人1：产险公司没有资产负债久期匹配的问题，因为其负债端主要是为期一年的保单，不需要考虑利差概念，投资收益归保险公司自身所有。产险公司虽然投资期限可能为一年，但如果预期未来保费稳定，可以配置更长期限的资产。</w:t>
      </w:r>
    </w:p>
    <w:p>
      <w:r>
        <w:rPr>
          <w:rFonts w:ascii="等线(中文正文)" w:hAnsi="等线(中文正文)" w:cs="等线(中文正文)" w:eastAsia="等线(中文正文)"/>
          <w:b w:val="false"/>
          <w:i w:val="false"/>
          <w:sz w:val="20"/>
        </w:rPr>
        <w:t/>
      </w:r>
    </w:p>
    <w:p>
      <w:pPr>
        <w:pStyle w:val="ab"/>
      </w:pPr>
      <w:r>
        <w:t>为什么产险公司的保费占全行业保费比例较小，但投资资产比例较大？</w:t>
      </w:r>
    </w:p>
    <w:p>
      <w:r>
        <w:rPr>
          <w:rFonts w:ascii="等线(中文正文)" w:hAnsi="等线(中文正文)" w:cs="等线(中文正文)" w:eastAsia="等线(中文正文)"/>
          <w:b w:val="false"/>
          <w:i w:val="false"/>
          <w:sz w:val="20"/>
        </w:rPr>
        <w:t>发言人1：产险公司综合成本率通常在百分之百附近，且没有累积效益，投资资产主要来源于每年保费的重新配置，因此保费对于产险公司来说不如寿险公司重要，而综合成本率对保险公司盈利能力影响较大，这也是产险公司更关注综合成本率的原因。</w:t>
      </w:r>
    </w:p>
    <w:p>
      <w:r>
        <w:rPr>
          <w:rFonts w:ascii="等线(中文正文)" w:hAnsi="等线(中文正文)" w:cs="等线(中文正文)" w:eastAsia="等线(中文正文)"/>
          <w:b w:val="false"/>
          <w:i w:val="false"/>
          <w:sz w:val="20"/>
        </w:rPr>
        <w:t/>
      </w:r>
    </w:p>
    <w:p>
      <w:pPr>
        <w:pStyle w:val="ab"/>
      </w:pPr>
      <w:r>
        <w:t>在保险行业中，哪两个指标是分析产险公司的核心关注点？</w:t>
      </w:r>
    </w:p>
    <w:p>
      <w:r>
        <w:rPr>
          <w:rFonts w:ascii="等线(中文正文)" w:hAnsi="等线(中文正文)" w:cs="等线(中文正文)" w:eastAsia="等线(中文正文)"/>
          <w:b w:val="false"/>
          <w:i w:val="false"/>
          <w:sz w:val="20"/>
        </w:rPr>
        <w:t>发言人1：分析产险公司时，重点关注两个指标：一是承保端能赚多少钱，即核心的综合成本率；二是投资端能赚多少钱。</w:t>
      </w:r>
    </w:p>
    <w:p>
      <w:r>
        <w:rPr>
          <w:rFonts w:ascii="等线(中文正文)" w:hAnsi="等线(中文正文)" w:cs="等线(中文正文)" w:eastAsia="等线(中文正文)"/>
          <w:b w:val="false"/>
          <w:i w:val="false"/>
          <w:sz w:val="20"/>
        </w:rPr>
        <w:t/>
      </w:r>
    </w:p>
    <w:p>
      <w:pPr>
        <w:pStyle w:val="ab"/>
      </w:pPr>
      <w:r>
        <w:t>目前A股上市的保险公司和券商数量分别如何？</w:t>
      </w:r>
    </w:p>
    <w:p>
      <w:r>
        <w:rPr>
          <w:rFonts w:ascii="等线(中文正文)" w:hAnsi="等线(中文正文)" w:cs="等线(中文正文)" w:eastAsia="等线(中文正文)"/>
          <w:b w:val="false"/>
          <w:i w:val="false"/>
          <w:sz w:val="20"/>
        </w:rPr>
        <w:t>发言人1：目前A股上市的保险公司大约有5家，而券商上市家数已接近50家，券商上市数量远多于保险公司。</w:t>
      </w:r>
    </w:p>
    <w:p>
      <w:r>
        <w:rPr>
          <w:rFonts w:ascii="等线(中文正文)" w:hAnsi="等线(中文正文)" w:cs="等线(中文正文)" w:eastAsia="等线(中文正文)"/>
          <w:b w:val="false"/>
          <w:i w:val="false"/>
          <w:sz w:val="20"/>
        </w:rPr>
        <w:t/>
      </w:r>
    </w:p>
    <w:p>
      <w:pPr>
        <w:pStyle w:val="ab"/>
      </w:pPr>
      <w:r>
        <w:t>券商的主要收入结构包括哪些业务？</w:t>
      </w:r>
    </w:p>
    <w:p>
      <w:r>
        <w:rPr>
          <w:rFonts w:ascii="等线(中文正文)" w:hAnsi="等线(中文正文)" w:cs="等线(中文正文)" w:eastAsia="等线(中文正文)"/>
          <w:b w:val="false"/>
          <w:i w:val="false"/>
          <w:sz w:val="20"/>
        </w:rPr>
        <w:t>发言人1：券商的主要收入结构包含六大类业务，分别是经纪业务（财富管理）、承销业务、资管业务、资本中介类业务（股票质押和两融）以及自营投资业务。其中，经纪业务的收入受成交量和佣金率影响较大，而承销业务和资管业务则体现券商投行能力和资产管理能力。</w:t>
      </w:r>
    </w:p>
    <w:p>
      <w:r>
        <w:rPr>
          <w:rFonts w:ascii="等线(中文正文)" w:hAnsi="等线(中文正文)" w:cs="等线(中文正文)" w:eastAsia="等线(中文正文)"/>
          <w:b w:val="false"/>
          <w:i w:val="false"/>
          <w:sz w:val="20"/>
        </w:rPr>
        <w:t/>
      </w:r>
    </w:p>
    <w:p>
      <w:pPr>
        <w:pStyle w:val="ab"/>
      </w:pPr>
      <w:r>
        <w:t>券商的收入增长主要与哪些因素相关？</w:t>
      </w:r>
    </w:p>
    <w:p>
      <w:r>
        <w:rPr>
          <w:rFonts w:ascii="等线(中文正文)" w:hAnsi="等线(中文正文)" w:cs="等线(中文正文)" w:eastAsia="等线(中文正文)"/>
          <w:b w:val="false"/>
          <w:i w:val="false"/>
          <w:sz w:val="20"/>
        </w:rPr>
        <w:t>发言人1：券商收入增长主要与市场趋势、交易额提升、经济环境好转、承销数量增加（如IPO）、融资发债数量增多、成交额上升、投资收益增加、两融余额提升等因素相关。此外，市场上涨还会带动对应的投资收益和规模提升，最终反映在券商业绩提升、估值水平提高以及股价上涨上。</w:t>
      </w:r>
    </w:p>
    <w:p>
      <w:r>
        <w:rPr>
          <w:rFonts w:ascii="等线(中文正文)" w:hAnsi="等线(中文正文)" w:cs="等线(中文正文)" w:eastAsia="等线(中文正文)"/>
          <w:b w:val="false"/>
          <w:i w:val="false"/>
          <w:sz w:val="20"/>
        </w:rPr>
        <w:t/>
      </w:r>
    </w:p>
    <w:p>
      <w:pPr>
        <w:pStyle w:val="ab"/>
      </w:pPr>
      <w:r>
        <w:t>券商估值方式的历史变迁是怎样的？券商业务结构上有哪些特点？</w:t>
      </w:r>
    </w:p>
    <w:p>
      <w:r>
        <w:rPr>
          <w:rFonts w:ascii="等线(中文正文)" w:hAnsi="等线(中文正文)" w:cs="等线(中文正文)" w:eastAsia="等线(中文正文)"/>
          <w:b w:val="false"/>
          <w:i w:val="false"/>
          <w:sz w:val="20"/>
        </w:rPr>
        <w:t>发言人1：券商估值方式的历史变迁与其盈利模式变化紧密相关。早期券商以简单C类业务为主，PE估值即可。随着股票质押、两融等重资产业务发展，对资本金要求提高，估值逐渐从PE转向PD。券商业务结构上，各家公司类型相似，佣金率持续走低，目前在1.7%左右。虽然行业曾有大力度创新，但近年来整体处于控风险状态，券商的杠杆率及资产负债情况的变化也反映了其业务结构和盈利模式的变化。</w:t>
      </w:r>
    </w:p>
    <w:p>
      <w:r>
        <w:rPr>
          <w:rFonts w:ascii="等线(中文正文)" w:hAnsi="等线(中文正文)" w:cs="等线(中文正文)" w:eastAsia="等线(中文正文)"/>
          <w:b w:val="false"/>
          <w:i w:val="false"/>
          <w:sz w:val="20"/>
        </w:rPr>
        <w:t/>
      </w:r>
    </w:p>
    <w:p>
      <w:pPr>
        <w:pStyle w:val="ab"/>
      </w:pPr>
      <w:r>
        <w:t>近年来，券商业绩弹性的变化情况如何？券商的业绩指标和数据获取情况如何？</w:t>
      </w:r>
    </w:p>
    <w:p>
      <w:r>
        <w:rPr>
          <w:rFonts w:ascii="等线(中文正文)" w:hAnsi="等线(中文正文)" w:cs="等线(中文正文)" w:eastAsia="等线(中文正文)"/>
          <w:b w:val="false"/>
          <w:i w:val="false"/>
          <w:sz w:val="20"/>
        </w:rPr>
        <w:t>发言人1：近年来，尤其是头部券商，业绩弹性有所下降，趋于稳定，奥运水平基本稳定在10%左右。在市场行情好时有较大向上弹性，但向下已有安全边际，因为他们的业务结构相对均衡。券商的业绩指标主要包括净资本、净现金、各类型业务市占率、费率及业务规模收益率等。数据获取较为方便，如每日可实时查看市场成交量、融资融券余额、涨跌幅等信息，因此券商的研究相对简单且市场反应迅速。</w:t>
      </w:r>
    </w:p>
    <w:p>
      <w:r>
        <w:rPr>
          <w:rFonts w:ascii="等线(中文正文)" w:hAnsi="等线(中文正文)" w:cs="等线(中文正文)" w:eastAsia="等线(中文正文)"/>
          <w:b w:val="false"/>
          <w:i w:val="false"/>
          <w:sz w:val="20"/>
        </w:rPr>
        <w:t/>
      </w:r>
    </w:p>
    <w:p>
      <w:pPr>
        <w:pStyle w:val="ab"/>
      </w:pPr>
      <w:r>
        <w:t>券商股属性随时间演变可能会出现怎样的变化？</w:t>
      </w:r>
    </w:p>
    <w:p>
      <w:r>
        <w:rPr>
          <w:rFonts w:ascii="等线(中文正文)" w:hAnsi="等线(中文正文)" w:cs="等线(中文正文)" w:eastAsia="等线(中文正文)"/>
          <w:b w:val="false"/>
          <w:i w:val="false"/>
          <w:sz w:val="20"/>
        </w:rPr>
        <w:t>发言人1：随着时间推移，券商股的属性可能发生转变，从之前的类似保险股的价值投资、中长期价值判断，转变为业绩稳定性高、配置价值和防御属性更强的类似价值股。</w:t>
      </w:r>
    </w:p>
    <w:p>
      <w:r>
        <w:rPr>
          <w:rFonts w:ascii="等线(中文正文)" w:hAnsi="等线(中文正文)" w:cs="等线(中文正文)" w:eastAsia="等线(中文正文)"/>
          <w:b w:val="false"/>
          <w:i w:val="false"/>
          <w:sz w:val="20"/>
        </w:rPr>
        <w:t/>
      </w:r>
    </w:p>
    <w:p>
      <w:pPr>
        <w:pStyle w:val="ab"/>
      </w:pPr>
      <w:r>
        <w:t>如何分析上市券商？</w:t>
      </w:r>
    </w:p>
    <w:p>
      <w:r>
        <w:rPr>
          <w:rFonts w:ascii="等线(中文正文)" w:hAnsi="等线(中文正文)" w:cs="等线(中文正文)" w:eastAsia="等线(中文正文)"/>
          <w:b w:val="false"/>
          <w:i w:val="false"/>
          <w:sz w:val="20"/>
        </w:rPr>
        <w:t>发言人1：分析上市券商时，首先要关注行业业务发展趋势、规模、费率等；其次是对上市公司的竞争力进行细致分析，包括各类业务竞争力、管理层和股东状况等。最后，基于业绩预测，结合不同时间点的估值方式（如PE、PB等）进行评估。</w:t>
      </w:r>
    </w:p>
    <w:p>
      <w:r>
        <w:rPr>
          <w:rFonts w:ascii="等线(中文正文)" w:hAnsi="等线(中文正文)" w:cs="等线(中文正文)" w:eastAsia="等线(中文正文)"/>
          <w:b w:val="false"/>
          <w:i w:val="false"/>
          <w:sz w:val="20"/>
        </w:rPr>
        <w:t/>
      </w:r>
    </w:p>
    <w:p>
      <w:pPr>
        <w:pStyle w:val="ab"/>
      </w:pPr>
      <w:r>
        <w:t>券商的核心竞争力包含哪些方面？</w:t>
      </w:r>
    </w:p>
    <w:p>
      <w:r>
        <w:rPr>
          <w:rFonts w:ascii="等线(中文正文)" w:hAnsi="等线(中文正文)" w:cs="等线(中文正文)" w:eastAsia="等线(中文正文)"/>
          <w:b w:val="false"/>
          <w:i w:val="false"/>
          <w:sz w:val="20"/>
        </w:rPr>
        <w:t>发言人1：券商的核心竞争力主要包括资本实力、营销能力、创新能力以及中后台的风控能力和激励机制等三个方面。</w:t>
      </w:r>
    </w:p>
    <w:p>
      <w:r>
        <w:rPr>
          <w:rFonts w:ascii="等线(中文正文)" w:hAnsi="等线(中文正文)" w:cs="等线(中文正文)" w:eastAsia="等线(中文正文)"/>
          <w:b w:val="false"/>
          <w:i w:val="false"/>
          <w:sz w:val="20"/>
        </w:rPr>
        <w:t/>
      </w:r>
    </w:p>
    <w:p>
      <w:pPr>
        <w:pStyle w:val="ab"/>
      </w:pPr>
      <w:r>
        <w:t>大型券商和中小型券商的发展策略有何不同？</w:t>
      </w:r>
    </w:p>
    <w:p>
      <w:r>
        <w:rPr>
          <w:rFonts w:ascii="等线(中文正文)" w:hAnsi="等线(中文正文)" w:cs="等线(中文正文)" w:eastAsia="等线(中文正文)"/>
          <w:b w:val="false"/>
          <w:i w:val="false"/>
          <w:sz w:val="20"/>
        </w:rPr>
        <w:t>发言人1：大型券商通常大而强，地位稳固，而中小型券商由于综合实力较弱，在与头部券商竞争时难以全面抗衡，所以更倾向于基于自身业务特色、区域优势和股东资源禀赋进行差异化、特色化经营。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2026-08-10T14:43:31Z</dcterms:created>
  <dc:creator>Apache POI</dc:creator>
</cp:coreProperties>
</file>