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招商证券 - K型分化下的大类资产配置策略 - 产品配置全景手册2026年8月 260810_导读</w:t>
      </w:r>
    </w:p>
    <w:p>
      <w:pPr>
        <w:pStyle w:val="a0"/>
        <w:jc w:val="center"/>
      </w:pPr>
      <w:r>
        <w:t>2026年08月10日 22:40</w:t>
      </w:r>
    </w:p>
    <w:p>
      <w:pPr>
        <w:pStyle w:val="a7"/>
      </w:pPr>
      <w:r>
        <w:t>关键词</w:t>
      </w:r>
    </w:p>
    <w:p>
      <w:r>
        <w:rPr>
          <w:rFonts w:ascii="等线(中文正文)" w:hAnsi="等线(中文正文)" w:cs="等线(中文正文)" w:eastAsia="等线(中文正文)"/>
          <w:b w:val="false"/>
          <w:i w:val="false"/>
          <w:sz w:val="20"/>
        </w:rPr>
        <w:t xml:space="preserve">宏观 量化 资产配置 AI繁荣 出口增速 经济周期 房地产 地方政府债务 K型分化 金融周期 稳增长 投资 消费 人民币汇率 新增外汇贷款 人民币资产 胜率 科技分化 流动性 商品价格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在讨论中，分析了全球经济与金融市场的资产配置情况。尽管全球AI发展迅速，中国出口表现强劲，但国内经济增速放缓，房地产市场及地方政府债务问题对经济增长构成压力。量化分析显示，当前市场流动性充裕，权益市场存在结构性机会，尤其是小盘股和黄金可能成为较好的投资选择。讨论强调了不同风险等级产品的配置策略，并强调风险管理的重要性。整体而言，对话凸显了宏观经济动态、政策调整对市场的影响，以及在当前复杂环境下进行有效资产配置的必要性。</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AI繁荣下的经济分化与政策选择</w:t>
      </w:r>
    </w:p>
    <w:p>
      <w:r>
        <w:rPr>
          <w:rFonts w:ascii="等线(中文正文)" w:hAnsi="等线(中文正文)" w:cs="等线(中文正文)" w:eastAsia="等线(中文正文)"/>
          <w:b w:val="false"/>
          <w:i w:val="false"/>
          <w:sz w:val="20"/>
        </w:rPr>
        <w:t>讨论了AI产业繁荣背景下，中国与韩国、台湾地区经济表现的差异，指出中国经济受房地产和地方政府债务问题影响，处于下行周期，而AI相关产业则处于上行阶段，形成K型分化。分析认为，政策有意通过放缓基建投资等手段，甩掉历史包袱，以更好地拥抱AI革命红利。</w:t>
      </w:r>
    </w:p>
    <w:p>
      <w:r>
        <w:rPr>
          <w:rFonts w:ascii="等线(中文正文)" w:hAnsi="等线(中文正文)" w:cs="等线(中文正文)" w:eastAsia="等线(中文正文)"/>
          <w:b w:val="false"/>
          <w:i w:val="false"/>
          <w:sz w:val="20"/>
        </w:rPr>
        <w:t/>
      </w:r>
    </w:p>
    <w:p>
      <w:pPr>
        <w:pStyle w:val="ab"/>
        <w:numPr>
          <w:numId w:val="2"/>
        </w:numPr>
      </w:pPr>
      <w:r>
        <w:t>05:02 2027年政策周期与房地产市场展望</w:t>
      </w:r>
    </w:p>
    <w:p>
      <w:r>
        <w:rPr>
          <w:rFonts w:ascii="等线(中文正文)" w:hAnsi="等线(中文正文)" w:cs="等线(中文正文)" w:eastAsia="等线(中文正文)"/>
          <w:b w:val="false"/>
          <w:i w:val="false"/>
          <w:sz w:val="20"/>
        </w:rPr>
        <w:t>讨论了2027年作为政策周期关键节点的重要性，分析了房地产下行周期、地方政府债务化解、金融周期调整及下半年稳增长政策可能性。强调了房地产销售筑底预期、地方政府债务改革、货币政策调整及下半年增量政策的相机抉择。</w:t>
      </w:r>
    </w:p>
    <w:p>
      <w:r>
        <w:rPr>
          <w:rFonts w:ascii="等线(中文正文)" w:hAnsi="等线(中文正文)" w:cs="等线(中文正文)" w:eastAsia="等线(中文正文)"/>
          <w:b w:val="false"/>
          <w:i w:val="false"/>
          <w:sz w:val="20"/>
        </w:rPr>
        <w:t/>
      </w:r>
    </w:p>
    <w:p>
      <w:pPr>
        <w:pStyle w:val="ab"/>
        <w:numPr>
          <w:numId w:val="3"/>
        </w:numPr>
      </w:pPr>
      <w:r>
        <w:t>12:34 下半年经济稳定与政策预期分析</w:t>
      </w:r>
    </w:p>
    <w:p>
      <w:r>
        <w:rPr>
          <w:rFonts w:ascii="等线(中文正文)" w:hAnsi="等线(中文正文)" w:cs="等线(中文正文)" w:eastAsia="等线(中文正文)"/>
          <w:b w:val="false"/>
          <w:i w:val="false"/>
          <w:sz w:val="20"/>
        </w:rPr>
        <w:t>对话围绕下半年经济稳定内需、政策预期及投资方向展开讨论。指出经济增速下滑、就业问题可能触发增量政策出台，强调信息联网和物联网建设的重要性。分析广义财政支出、基建投资增速及出口增长对经济的潜在影响，预测下半年权益和商品类资产胜率较高。</w:t>
      </w:r>
    </w:p>
    <w:p>
      <w:r>
        <w:rPr>
          <w:rFonts w:ascii="等线(中文正文)" w:hAnsi="等线(中文正文)" w:cs="等线(中文正文)" w:eastAsia="等线(中文正文)"/>
          <w:b w:val="false"/>
          <w:i w:val="false"/>
          <w:sz w:val="20"/>
        </w:rPr>
        <w:t/>
      </w:r>
    </w:p>
    <w:p>
      <w:pPr>
        <w:pStyle w:val="ab"/>
        <w:numPr>
          <w:numId w:val="4"/>
        </w:numPr>
      </w:pPr>
      <w:r>
        <w:t>17:41 人民币升值预期与人民币资产配置分析</w:t>
      </w:r>
    </w:p>
    <w:p>
      <w:r>
        <w:rPr>
          <w:rFonts w:ascii="等线(中文正文)" w:hAnsi="等线(中文正文)" w:cs="等线(中文正文)" w:eastAsia="等线(中文正文)"/>
          <w:b w:val="false"/>
          <w:i w:val="false"/>
          <w:sz w:val="20"/>
        </w:rPr>
        <w:t>对话探讨了人民币升值预期对资产配置的影响，指出出口良好促使人民币汇率升值，私人部门结汇意愿增强，新增外汇贷款正增长，国内流动性宽松，支撑人民币股债汇商品资产。建议关注权益和商品配置价值，认为在K型分化背景下，人民币资产胜率较高。</w:t>
      </w:r>
    </w:p>
    <w:p>
      <w:r>
        <w:rPr>
          <w:rFonts w:ascii="等线(中文正文)" w:hAnsi="等线(中文正文)" w:cs="等线(中文正文)" w:eastAsia="等线(中文正文)"/>
          <w:b w:val="false"/>
          <w:i w:val="false"/>
          <w:sz w:val="20"/>
        </w:rPr>
        <w:t/>
      </w:r>
    </w:p>
    <w:p>
      <w:pPr>
        <w:pStyle w:val="ab"/>
        <w:numPr>
          <w:numId w:val="5"/>
        </w:numPr>
      </w:pPr>
      <w:r>
        <w:t>22:49 多资产多策略配置下的市场流动性分析与投资机会</w:t>
      </w:r>
    </w:p>
    <w:p>
      <w:r>
        <w:rPr>
          <w:rFonts w:ascii="等线(中文正文)" w:hAnsi="等线(中文正文)" w:cs="等线(中文正文)" w:eastAsia="等线(中文正文)"/>
          <w:b w:val="false"/>
          <w:i w:val="false"/>
          <w:sz w:val="20"/>
        </w:rPr>
        <w:t>讨论了在当前市场流动性充裕背景下，多资产多策略配置的重要性。宏观风险因子分析显示，流动性充足与实际利率低位，促使资金流向资本市场，有弹性的资产如股票、债券和商品机会增多，建议关注小盘股和黄金的投资机会。同时，介绍了不同风险等级产品的配置策略，强调了宏观、资产和策略风格维度的全面风险管理。</w:t>
      </w:r>
    </w:p>
    <w:p>
      <w:r>
        <w:rPr>
          <w:rFonts w:ascii="等线(中文正文)" w:hAnsi="等线(中文正文)" w:cs="等线(中文正文)" w:eastAsia="等线(中文正文)"/>
          <w:b w:val="false"/>
          <w:i w:val="false"/>
          <w:sz w:val="20"/>
        </w:rPr>
        <w:t/>
      </w:r>
    </w:p>
    <w:p>
      <w:pPr>
        <w:pStyle w:val="ab"/>
        <w:numPr>
          <w:numId w:val="6"/>
        </w:numPr>
      </w:pPr>
      <w:r>
        <w:t>27:50 市场估值分析与小盘股机会</w:t>
      </w:r>
    </w:p>
    <w:p>
      <w:r>
        <w:rPr>
          <w:rFonts w:ascii="等线(中文正文)" w:hAnsi="等线(中文正文)" w:cs="等线(中文正文)" w:eastAsia="等线(中文正文)"/>
          <w:b w:val="false"/>
          <w:i w:val="false"/>
          <w:sz w:val="20"/>
        </w:rPr>
        <w:t>对话探讨了产业市场的估值情况，指出中期估值合理偏低，权益机会较多。短期市场受宏观微观信号背离影响，表现纠结。小盘股因赔率适中和流动性扩散逻辑，在牛市中期到末期表现更优，推荐优先考虑小盘股机会。</w:t>
      </w:r>
    </w:p>
    <w:p>
      <w:r>
        <w:rPr>
          <w:rFonts w:ascii="等线(中文正文)" w:hAnsi="等线(中文正文)" w:cs="等线(中文正文)" w:eastAsia="等线(中文正文)"/>
          <w:b w:val="false"/>
          <w:i w:val="false"/>
          <w:sz w:val="20"/>
        </w:rPr>
        <w:t/>
      </w:r>
    </w:p>
    <w:p>
      <w:pPr>
        <w:pStyle w:val="ab"/>
        <w:numPr>
          <w:numId w:val="7"/>
        </w:numPr>
      </w:pPr>
      <w:r>
        <w:t>33:00 市场转向与投资策略：小盘股及A股更受青睐</w:t>
      </w:r>
    </w:p>
    <w:p>
      <w:r>
        <w:rPr>
          <w:rFonts w:ascii="等线(中文正文)" w:hAnsi="等线(中文正文)" w:cs="等线(中文正文)" w:eastAsia="等线(中文正文)"/>
          <w:b w:val="false"/>
          <w:i w:val="false"/>
          <w:sz w:val="20"/>
        </w:rPr>
        <w:t>市场正从牛市第二阶段转向第三阶段，小盘股展现出配置价值，尤其是从短期和中期角度看。7月量化产品回撤显著，高贝塔和小市值因子表现不佳，但小市值因子已触底反弹。A股相较于港股更具吸引力，因港股受国内基本面和油价影响较大，而在估值和流动性受益方面不如A股。</w:t>
      </w:r>
    </w:p>
    <w:p>
      <w:r>
        <w:rPr>
          <w:rFonts w:ascii="等线(中文正文)" w:hAnsi="等线(中文正文)" w:cs="等线(中文正文)" w:eastAsia="等线(中文正文)"/>
          <w:b w:val="false"/>
          <w:i w:val="false"/>
          <w:sz w:val="20"/>
        </w:rPr>
        <w:t/>
      </w:r>
    </w:p>
    <w:p>
      <w:pPr>
        <w:pStyle w:val="ab"/>
        <w:numPr>
          <w:numId w:val="8"/>
        </w:numPr>
      </w:pPr>
      <w:r>
        <w:t>35:51 黄金市场中期与短期逻辑分析</w:t>
      </w:r>
    </w:p>
    <w:p>
      <w:r>
        <w:rPr>
          <w:rFonts w:ascii="等线(中文正文)" w:hAnsi="等线(中文正文)" w:cs="等线(中文正文)" w:eastAsia="等线(中文正文)"/>
          <w:b w:val="false"/>
          <w:i w:val="false"/>
          <w:sz w:val="20"/>
        </w:rPr>
        <w:t>对话深入探讨了黄金市场的中期和短期逻辑。中期逻辑聚焦于央行持续购金以对冲美元信用风险，以及投机资金减少对黄金估值的积极影响，使黄金与传统股市脱钩，增强其分散化配置价值。短期内，黄金市场展现出更多积极因素，如黄金ETF规模减弱后仍保持净买入趋势，以及未平仓合约数量下降，预示着黄金市场逐步回归基本面，提升其作为避险资产的地位。</w:t>
      </w:r>
    </w:p>
    <w:p>
      <w:r>
        <w:rPr>
          <w:rFonts w:ascii="等线(中文正文)" w:hAnsi="等线(中文正文)" w:cs="等线(中文正文)" w:eastAsia="等线(中文正文)"/>
          <w:b w:val="false"/>
          <w:i w:val="false"/>
          <w:sz w:val="20"/>
        </w:rPr>
        <w:t/>
      </w:r>
    </w:p>
    <w:p>
      <w:pPr>
        <w:pStyle w:val="ab"/>
        <w:numPr>
          <w:numId w:val="9"/>
        </w:numPr>
      </w:pPr>
      <w:r>
        <w:t>38:53 黄金隐含波动率与产品配置策略分析</w:t>
      </w:r>
    </w:p>
    <w:p>
      <w:r>
        <w:rPr>
          <w:rFonts w:ascii="等线(中文正文)" w:hAnsi="等线(中文正文)" w:cs="等线(中文正文)" w:eastAsia="等线(中文正文)"/>
          <w:b w:val="false"/>
          <w:i w:val="false"/>
          <w:sz w:val="20"/>
        </w:rPr>
        <w:t>对话讨论了黄金隐含波动率的下降趋势及其对交易策略的影响，指出当前波动率处于合理水平，黄金价格呈现趋势突破，期货市场转暖。同时，介绍了风险管理和控制的产品配置策略，涵盖高、中、低风险等级产品设计，强调分散化投资与绝对收益构建。</w:t>
      </w:r>
    </w:p>
    <w:p>
      <w:r>
        <w:rPr>
          <w:rFonts w:ascii="等线(中文正文)" w:hAnsi="等线(中文正文)" w:cs="等线(中文正文)" w:eastAsia="等线(中文正文)"/>
          <w:b w:val="false"/>
          <w:i w:val="false"/>
          <w:sz w:val="20"/>
        </w:rPr>
        <w:t/>
      </w:r>
    </w:p>
    <w:p>
      <w:pPr>
        <w:pStyle w:val="ab"/>
        <w:numPr>
          <w:numId w:val="10"/>
        </w:numPr>
      </w:pPr>
      <w:r>
        <w:t>41:55 投资策略与市场波动应对经验分享</w:t>
      </w:r>
    </w:p>
    <w:p>
      <w:r>
        <w:rPr>
          <w:rFonts w:ascii="等线(中文正文)" w:hAnsi="等线(中文正文)" w:cs="等线(中文正文)" w:eastAsia="等线(中文正文)"/>
          <w:b w:val="false"/>
          <w:i w:val="false"/>
          <w:sz w:val="20"/>
        </w:rPr>
        <w:t>分享了配置策略作为业绩比较基准的应用，强调低频调仓与均衡多资产配置理念，提出高风险产品适度积极交易择时及低风险产品在小盘成长板块寻找阿尔法增厚收益的建议，总结了产品运作经验与市场波动应对策略，供投资者参考。</w:t>
      </w:r>
    </w:p>
    <w:p>
      <w:r>
        <w:rPr>
          <w:rFonts w:ascii="等线(中文正文)" w:hAnsi="等线(中文正文)" w:cs="等线(中文正文)" w:eastAsia="等线(中文正文)"/>
          <w:b w:val="false"/>
          <w:i w:val="false"/>
          <w:sz w:val="20"/>
        </w:rPr>
        <w:t/>
      </w:r>
    </w:p>
    <w:p>
      <w:pPr>
        <w:pStyle w:val="a7"/>
      </w:pPr>
      <w:r>
        <w:t>发言总结</w:t>
      </w:r>
    </w:p>
    <w:p>
      <w:pPr>
        <w:pStyle w:val="ab"/>
        <w:numPr>
          <w:numId w:val="11"/>
        </w:numPr>
      </w:pPr>
      <w:r>
        <w:t>发言人1</w:t>
      </w:r>
    </w:p>
    <w:p>
      <w:r>
        <w:rPr>
          <w:rFonts w:ascii="等线(中文正文)" w:hAnsi="等线(中文正文)" w:cs="等线(中文正文)" w:eastAsia="等线(中文正文)"/>
          <w:b w:val="false"/>
          <w:i w:val="false"/>
          <w:sz w:val="20"/>
        </w:rPr>
        <w:t>他，即张一平，与量化资配的首席共同为投资者提供了关于当前大类资产配置的深度分析。张一平首先指出，在全球AI繁荣的背景下，中国出口增速高但经济增长速度放缓，体现了技术革命带来的经济分化现象。他提到，AI行业表现良好，但房地产和地方政府债务问题拖累了中国经济，导致增长放缓。张一平分析了出口数据和宏观数据，指出AI热潮与中国当前经济周期的复杂交织，以及政策对AI产业和传统经济领域的影响。他还讨论了政策调整、财政和货币政策对经济的潜在影响，并展望了下半年的投资策略，包括对人民币汇率的预测和对商品、股票等大类资产的分析，强调了在当前环境下，识别结构性机会和管理风险的重要性。</w:t>
      </w:r>
    </w:p>
    <w:p>
      <w:r>
        <w:rPr>
          <w:rFonts w:ascii="等线(中文正文)" w:hAnsi="等线(中文正文)" w:cs="等线(中文正文)" w:eastAsia="等线(中文正文)"/>
          <w:b w:val="false"/>
          <w:i w:val="false"/>
          <w:sz w:val="20"/>
        </w:rPr>
        <w:t/>
      </w:r>
    </w:p>
    <w:p>
      <w:pPr>
        <w:pStyle w:val="a7"/>
      </w:pPr>
      <w:r>
        <w:t>要点回顾</w:t>
      </w:r>
    </w:p>
    <w:p>
      <w:pPr>
        <w:pStyle w:val="ab"/>
      </w:pPr>
      <w:r>
        <w:t>在当前全球经济环境下，为什么AI繁荣会导致不同国家经济表现的分化？</w:t>
      </w:r>
    </w:p>
    <w:p>
      <w:r>
        <w:rPr>
          <w:rFonts w:ascii="等线(中文正文)" w:hAnsi="等线(中文正文)" w:cs="等线(中文正文)" w:eastAsia="等线(中文正文)"/>
          <w:b w:val="false"/>
          <w:i w:val="false"/>
          <w:sz w:val="20"/>
        </w:rPr>
        <w:t>发言人1：虽然AI繁荣反映了AI革命处于上行阶段，但中国经济目前正处于下行周期与上行周期的重叠期。房地产及背后的政府债务问题仍处于衰退阶段，而韩国和台湾地区由于AI产业的繁荣带动了经济上升。这种分化局面在历次技术革命中都有体现，即并非所有行业都能同步发展，有的甚至会衰退或消失。</w:t>
      </w:r>
    </w:p>
    <w:p>
      <w:r>
        <w:rPr>
          <w:rFonts w:ascii="等线(中文正文)" w:hAnsi="等线(中文正文)" w:cs="等线(中文正文)" w:eastAsia="等线(中文正文)"/>
          <w:b w:val="false"/>
          <w:i w:val="false"/>
          <w:sz w:val="20"/>
        </w:rPr>
        <w:t/>
      </w:r>
    </w:p>
    <w:p>
      <w:pPr>
        <w:pStyle w:val="ab"/>
      </w:pPr>
      <w:r>
        <w:t>房地产和地方政府债务问题对整体经济形势有何影响，并将在何时何地得到缓解？</w:t>
      </w:r>
    </w:p>
    <w:p>
      <w:r>
        <w:rPr>
          <w:rFonts w:ascii="等线(中文正文)" w:hAnsi="等线(中文正文)" w:cs="等线(中文正文)" w:eastAsia="等线(中文正文)"/>
          <w:b w:val="false"/>
          <w:i w:val="false"/>
          <w:sz w:val="20"/>
        </w:rPr>
        <w:t>发言人1：从房地产角度看，根据海外经验，一轮下行周期平均为6到7年，从三条红线政策实施开始算起，明年将是第七年，且销售情况出现企稳迹象。若下半年销售保持平稳，则有望在今年或明年看到房地产销售量筑底，随后价格也可能筑底。对于地方政府债务问题，今年是置换额度的最后一年，市场化改革也需在年内完成大部分工作。因此，今年和明年可能是出清阶段，政策将以平稳为主，预计K型分化将持续到明年，之后可能会收敛。</w:t>
      </w:r>
    </w:p>
    <w:p>
      <w:r>
        <w:rPr>
          <w:rFonts w:ascii="等线(中文正文)" w:hAnsi="等线(中文正文)" w:cs="等线(中文正文)" w:eastAsia="等线(中文正文)"/>
          <w:b w:val="false"/>
          <w:i w:val="false"/>
          <w:sz w:val="20"/>
        </w:rPr>
        <w:t/>
      </w:r>
    </w:p>
    <w:p>
      <w:pPr>
        <w:pStyle w:val="ab"/>
      </w:pPr>
      <w:r>
        <w:t>政策层面是如何影响当前K型分化局面的？</w:t>
      </w:r>
    </w:p>
    <w:p>
      <w:r>
        <w:rPr>
          <w:rFonts w:ascii="等线(中文正文)" w:hAnsi="等线(中文正文)" w:cs="等线(中文正文)" w:eastAsia="等线(中文正文)"/>
          <w:b w:val="false"/>
          <w:i w:val="false"/>
          <w:sz w:val="20"/>
        </w:rPr>
        <w:t>发言人1：从投资数据来看，K型分化的现状可能是政策主动追求的结果。政府有意通过调整政策力度，如基建投资增速的变化，来应对房地产问题和地方政府债务问题，以避免这些历史包袱影响AI相关产业的繁荣扩展至其他行业。预计这一政策调整期将持续到2027年左右。</w:t>
      </w:r>
    </w:p>
    <w:p>
      <w:r>
        <w:rPr>
          <w:rFonts w:ascii="等线(中文正文)" w:hAnsi="等线(中文正文)" w:cs="等线(中文正文)" w:eastAsia="等线(中文正文)"/>
          <w:b w:val="false"/>
          <w:i w:val="false"/>
          <w:sz w:val="20"/>
        </w:rPr>
        <w:t/>
      </w:r>
    </w:p>
    <w:p>
      <w:pPr>
        <w:pStyle w:val="ab"/>
      </w:pPr>
      <w:r>
        <w:t>目前中国总需求水平的情况如何，以及政策对此有何反应？</w:t>
      </w:r>
    </w:p>
    <w:p>
      <w:r>
        <w:rPr>
          <w:rFonts w:ascii="等线(中文正文)" w:hAnsi="等线(中文正文)" w:cs="等线(中文正文)" w:eastAsia="等线(中文正文)"/>
          <w:b w:val="false"/>
          <w:i w:val="false"/>
          <w:sz w:val="20"/>
        </w:rPr>
        <w:t>发言人1：上半年投资表现较差，总需求水平相比去年已有所萎缩，出现了疫情以来最大的需求缺口。七月末的政治局会议对政策做出重大调整，将金融周期冲击纳入决策函数，并强调稳增长的重要性。政策将容忍一定成本以推进房地产和地方政府债务出清，但若消费、投资、就业等关键领域出现问题，政策将适时作出边际调整，实施逆周期和跨周期调节措施，包括运用现有政策工具及相机抉择推出增量政策。</w:t>
      </w:r>
    </w:p>
    <w:p>
      <w:r>
        <w:rPr>
          <w:rFonts w:ascii="等线(中文正文)" w:hAnsi="等线(中文正文)" w:cs="等线(中文正文)" w:eastAsia="等线(中文正文)"/>
          <w:b w:val="false"/>
          <w:i w:val="false"/>
          <w:sz w:val="20"/>
        </w:rPr>
        <w:t/>
      </w:r>
    </w:p>
    <w:p>
      <w:pPr>
        <w:pStyle w:val="ab"/>
      </w:pPr>
      <w:r>
        <w:t>上半年经济情况较差，这是否意味着下半年财政空间更大？</w:t>
      </w:r>
    </w:p>
    <w:p>
      <w:r>
        <w:rPr>
          <w:rFonts w:ascii="等线(中文正文)" w:hAnsi="等线(中文正文)" w:cs="等线(中文正文)" w:eastAsia="等线(中文正文)"/>
          <w:b w:val="false"/>
          <w:i w:val="false"/>
          <w:sz w:val="20"/>
        </w:rPr>
        <w:t>发言人1：是的，上半年进度慢确实为下半年留下了更大的财政空间，预计赤字进度和广义财政赤字会有明显变化。</w:t>
      </w:r>
    </w:p>
    <w:p>
      <w:r>
        <w:rPr>
          <w:rFonts w:ascii="等线(中文正文)" w:hAnsi="等线(中文正文)" w:cs="等线(中文正文)" w:eastAsia="等线(中文正文)"/>
          <w:b w:val="false"/>
          <w:i w:val="false"/>
          <w:sz w:val="20"/>
        </w:rPr>
        <w:t/>
      </w:r>
    </w:p>
    <w:p>
      <w:pPr>
        <w:pStyle w:val="ab"/>
      </w:pPr>
      <w:r>
        <w:t>对于货币政策的适时调整，是否意味着会降准降息？</w:t>
      </w:r>
    </w:p>
    <w:p>
      <w:r>
        <w:rPr>
          <w:rFonts w:ascii="等线(中文正文)" w:hAnsi="等线(中文正文)" w:cs="等线(中文正文)" w:eastAsia="等线(中文正文)"/>
          <w:b w:val="false"/>
          <w:i w:val="false"/>
          <w:sz w:val="20"/>
        </w:rPr>
        <w:t>发言人1：我们不认为适时调整货币政策工大概率等同于降准降息。下半年即使有增量政策出台，可能更倾向于类似今年1月份结构性工具价格下调、额度提高的方式进行。</w:t>
      </w:r>
    </w:p>
    <w:p>
      <w:r>
        <w:rPr>
          <w:rFonts w:ascii="等线(中文正文)" w:hAnsi="等线(中文正文)" w:cs="等线(中文正文)" w:eastAsia="等线(中文正文)"/>
          <w:b w:val="false"/>
          <w:i w:val="false"/>
          <w:sz w:val="20"/>
        </w:rPr>
        <w:t/>
      </w:r>
    </w:p>
    <w:p>
      <w:pPr>
        <w:pStyle w:val="ab"/>
      </w:pPr>
      <w:r>
        <w:t>下半年如何稳定内需？是否会通过刺激旧经济来熨平经济波动？</w:t>
      </w:r>
    </w:p>
    <w:p>
      <w:r>
        <w:rPr>
          <w:rFonts w:ascii="等线(中文正文)" w:hAnsi="等线(中文正文)" w:cs="等线(中文正文)" w:eastAsia="等线(中文正文)"/>
          <w:b w:val="false"/>
          <w:i w:val="false"/>
          <w:sz w:val="20"/>
        </w:rPr>
        <w:t>发言人1：下半年稳定内需时，预计不会依赖刺激旧经济，而是会在新的领域寻找发力点，但服务消费对短期内扭转经济持续效果有限。</w:t>
      </w:r>
    </w:p>
    <w:p>
      <w:r>
        <w:rPr>
          <w:rFonts w:ascii="等线(中文正文)" w:hAnsi="等线(中文正文)" w:cs="等线(中文正文)" w:eastAsia="等线(中文正文)"/>
          <w:b w:val="false"/>
          <w:i w:val="false"/>
          <w:sz w:val="20"/>
        </w:rPr>
        <w:t/>
      </w:r>
    </w:p>
    <w:p>
      <w:pPr>
        <w:pStyle w:val="ab"/>
      </w:pPr>
      <w:r>
        <w:t>投资方面，哪些领域进展会更快？</w:t>
      </w:r>
    </w:p>
    <w:p>
      <w:r>
        <w:rPr>
          <w:rFonts w:ascii="等线(中文正文)" w:hAnsi="等线(中文正文)" w:cs="等线(中文正文)" w:eastAsia="等线(中文正文)"/>
          <w:b w:val="false"/>
          <w:i w:val="false"/>
          <w:sz w:val="20"/>
        </w:rPr>
        <w:t>发言人1：在六张网的投资中，信息联网和物联网建设预计会相对更快，因为这两方面在7月31日国常会上得到了总理的专题听取和关注。</w:t>
      </w:r>
    </w:p>
    <w:p>
      <w:r>
        <w:rPr>
          <w:rFonts w:ascii="等线(中文正文)" w:hAnsi="等线(中文正文)" w:cs="等线(中文正文)" w:eastAsia="等线(中文正文)"/>
          <w:b w:val="false"/>
          <w:i w:val="false"/>
          <w:sz w:val="20"/>
        </w:rPr>
        <w:t/>
      </w:r>
    </w:p>
    <w:p>
      <w:pPr>
        <w:pStyle w:val="ab"/>
      </w:pPr>
      <w:r>
        <w:t>当前是否需要推出增量政策以应对经济压力？</w:t>
      </w:r>
    </w:p>
    <w:p>
      <w:r>
        <w:rPr>
          <w:rFonts w:ascii="等线(中文正文)" w:hAnsi="等线(中文正文)" w:cs="等线(中文正文)" w:eastAsia="等线(中文正文)"/>
          <w:b w:val="false"/>
          <w:i w:val="false"/>
          <w:sz w:val="20"/>
        </w:rPr>
        <w:t>发言人1：根据我们分析，前三季度经济增速已跌破4.5，三季度GDP增速下滑，就业数据也显示出压力，这些因素可能触发增量政策的出台。</w:t>
      </w:r>
    </w:p>
    <w:p>
      <w:r>
        <w:rPr>
          <w:rFonts w:ascii="等线(中文正文)" w:hAnsi="等线(中文正文)" w:cs="等线(中文正文)" w:eastAsia="等线(中文正文)"/>
          <w:b w:val="false"/>
          <w:i w:val="false"/>
          <w:sz w:val="20"/>
        </w:rPr>
        <w:t/>
      </w:r>
    </w:p>
    <w:p>
      <w:pPr>
        <w:pStyle w:val="ab"/>
      </w:pPr>
      <w:r>
        <w:t>观察下半年政策走向时，有哪些关键指标需要关注？</w:t>
      </w:r>
    </w:p>
    <w:p>
      <w:r>
        <w:rPr>
          <w:rFonts w:ascii="等线(中文正文)" w:hAnsi="等线(中文正文)" w:cs="等线(中文正文)" w:eastAsia="等线(中文正文)"/>
          <w:b w:val="false"/>
          <w:i w:val="false"/>
          <w:sz w:val="20"/>
        </w:rPr>
        <w:t>发言人1：关键要看广义财政支出情况，如果其增速由负转正，则基建投资增速会由负转正，带动整体投资增速回升至去年-3.9的水平之上。</w:t>
      </w:r>
    </w:p>
    <w:p>
      <w:r>
        <w:rPr>
          <w:rFonts w:ascii="等线(中文正文)" w:hAnsi="等线(中文正文)" w:cs="等线(中文正文)" w:eastAsia="等线(中文正文)"/>
          <w:b w:val="false"/>
          <w:i w:val="false"/>
          <w:sz w:val="20"/>
        </w:rPr>
        <w:t/>
      </w:r>
    </w:p>
    <w:p>
      <w:pPr>
        <w:pStyle w:val="ab"/>
      </w:pPr>
      <w:r>
        <w:t>对于下半年金融市场走向，以及大类资产配置的看法是什么？</w:t>
      </w:r>
    </w:p>
    <w:p>
      <w:r>
        <w:rPr>
          <w:rFonts w:ascii="等线(中文正文)" w:hAnsi="等线(中文正文)" w:cs="等线(中文正文)" w:eastAsia="等线(中文正文)"/>
          <w:b w:val="false"/>
          <w:i w:val="false"/>
          <w:sz w:val="20"/>
        </w:rPr>
        <w:t>发言人1：我们预计下半年国内不会降准降息，金融指标将持续下降趋势，基本面指标中投资形势改善叠加出口维持快速增长将带动经济基本面指标上行，因此权益和商品是下半年胜率较高的品种。</w:t>
      </w:r>
    </w:p>
    <w:p>
      <w:r>
        <w:rPr>
          <w:rFonts w:ascii="等线(中文正文)" w:hAnsi="等线(中文正文)" w:cs="等线(中文正文)" w:eastAsia="等线(中文正文)"/>
          <w:b w:val="false"/>
          <w:i w:val="false"/>
          <w:sz w:val="20"/>
        </w:rPr>
        <w:t/>
      </w:r>
    </w:p>
    <w:p>
      <w:pPr>
        <w:pStyle w:val="ab"/>
      </w:pPr>
      <w:r>
        <w:t>汇率变化对人民币资产配置有何影响？</w:t>
      </w:r>
    </w:p>
    <w:p>
      <w:r>
        <w:rPr>
          <w:rFonts w:ascii="等线(中文正文)" w:hAnsi="等线(中文正文)" w:cs="等线(中文正文)" w:eastAsia="等线(中文正文)"/>
          <w:b w:val="false"/>
          <w:i w:val="false"/>
          <w:sz w:val="20"/>
        </w:rPr>
        <w:t>发言人1：预计今年人民币汇率将升值至6.6附近，升值预期强化将提升私人部门结汇意愿，新增外汇贷款将持续正增长。在这样的情况下，人民币股债汇商品资产将得到流动性宽松的有力支撑。</w:t>
      </w:r>
    </w:p>
    <w:p>
      <w:r>
        <w:rPr>
          <w:rFonts w:ascii="等线(中文正文)" w:hAnsi="等线(中文正文)" w:cs="等线(中文正文)" w:eastAsia="等线(中文正文)"/>
          <w:b w:val="false"/>
          <w:i w:val="false"/>
          <w:sz w:val="20"/>
        </w:rPr>
        <w:t/>
      </w:r>
    </w:p>
    <w:p>
      <w:pPr>
        <w:pStyle w:val="ab"/>
      </w:pPr>
      <w:r>
        <w:t>在当前环境下，如何选择赔率更高的投资品种？</w:t>
      </w:r>
    </w:p>
    <w:p>
      <w:r>
        <w:rPr>
          <w:rFonts w:ascii="等线(中文正文)" w:hAnsi="等线(中文正文)" w:cs="等线(中文正文)" w:eastAsia="等线(中文正文)"/>
          <w:b w:val="false"/>
          <w:i w:val="false"/>
          <w:sz w:val="20"/>
        </w:rPr>
        <w:t>发言人1：在市场分化的情况下，选择前期大幅下跌的股和商品会有较好的机会，特别是外部波动传递下，A股可能出现超跌反弹局面；而商品价格随着基建投资回升，也有望出现反弹。</w:t>
      </w:r>
    </w:p>
    <w:p>
      <w:r>
        <w:rPr>
          <w:rFonts w:ascii="等线(中文正文)" w:hAnsi="等线(中文正文)" w:cs="等线(中文正文)" w:eastAsia="等线(中文正文)"/>
          <w:b w:val="false"/>
          <w:i w:val="false"/>
          <w:sz w:val="20"/>
        </w:rPr>
        <w:t/>
      </w:r>
    </w:p>
    <w:p>
      <w:pPr>
        <w:pStyle w:val="ab"/>
      </w:pPr>
      <w:r>
        <w:t>在K型分化的市场环境下，流动性状况如何，以及这对人民币资产配置有何影响？</w:t>
      </w:r>
    </w:p>
    <w:p>
      <w:r>
        <w:rPr>
          <w:rFonts w:ascii="等线(中文正文)" w:hAnsi="等线(中文正文)" w:cs="等线(中文正文)" w:eastAsia="等线(中文正文)"/>
          <w:b w:val="false"/>
          <w:i w:val="false"/>
          <w:sz w:val="20"/>
        </w:rPr>
        <w:t>发言人1：在K型分化的局面下，出口表现良好、汇率坚挺，导致新增外汇占款大幅增加，形成明显的正反馈效应。国内流动性因此变得较为宽松，这使得人民币资产的胜率较高，无论是股票还是债券，在流动性宽松的背景下都表现出较好的上涨机会。从赔率角度看，下半年权益和商品的配置价值可能优于固定债券资产和人民币汇率。</w:t>
      </w:r>
    </w:p>
    <w:p>
      <w:r>
        <w:rPr>
          <w:rFonts w:ascii="等线(中文正文)" w:hAnsi="等线(中文正文)" w:cs="等线(中文正文)" w:eastAsia="等线(中文正文)"/>
          <w:b w:val="false"/>
          <w:i w:val="false"/>
          <w:sz w:val="20"/>
        </w:rPr>
        <w:t/>
      </w:r>
    </w:p>
    <w:p>
      <w:pPr>
        <w:pStyle w:val="ab"/>
      </w:pPr>
      <w:r>
        <w:t>今天要讨论的主要内容是什么？在这样的宏观环境下，资产配置机会如何？</w:t>
      </w:r>
    </w:p>
    <w:p>
      <w:r>
        <w:rPr>
          <w:rFonts w:ascii="等线(中文正文)" w:hAnsi="等线(中文正文)" w:cs="等线(中文正文)" w:eastAsia="等线(中文正文)"/>
          <w:b w:val="false"/>
          <w:i w:val="false"/>
          <w:sz w:val="20"/>
        </w:rPr>
        <w:t>发言人1：今天主要想向投资者汇报的产品配置报告，重点关注在多资产多策略背景下如何提供有效配置，并不仅限于资产本身，更关注策略层面。我们将从定量的角度对产品和策略的投资机会进行评估，涵盖宏观层面、资产层面以及策略风格维度。在当前流动性充裕且实际利率处于历史低位的状态下，过剩的储蓄并未完全推动实体信用扩张，而是更多地停留在资本市场，这为有弹性的资产（如股债商品）提供了阶段性轮动和快速轮动的机会。</w:t>
      </w:r>
    </w:p>
    <w:p>
      <w:r>
        <w:rPr>
          <w:rFonts w:ascii="等线(中文正文)" w:hAnsi="等线(中文正文)" w:cs="等线(中文正文)" w:eastAsia="等线(中文正文)"/>
          <w:b w:val="false"/>
          <w:i w:val="false"/>
          <w:sz w:val="20"/>
        </w:rPr>
        <w:t/>
      </w:r>
    </w:p>
    <w:p>
      <w:pPr>
        <w:pStyle w:val="ab"/>
      </w:pPr>
      <w:r>
        <w:t>对于当前市场流动性状况的核心结论是什么？</w:t>
      </w:r>
    </w:p>
    <w:p>
      <w:r>
        <w:rPr>
          <w:rFonts w:ascii="等线(中文正文)" w:hAnsi="等线(中文正文)" w:cs="等线(中文正文)" w:eastAsia="等线(中文正文)"/>
          <w:b w:val="false"/>
          <w:i w:val="false"/>
          <w:sz w:val="20"/>
        </w:rPr>
        <w:t>发言人1：核心结论之一是当前市场的流动性是充足的。充裕的流动性可能体现在股票、债券或商品等弹性资产上。此外，还分析了权益市场的结构性机会，尤其是小盘股的机会，并指出黄金在短期和中期也存在更为有利的积极因素。</w:t>
      </w:r>
    </w:p>
    <w:p>
      <w:r>
        <w:rPr>
          <w:rFonts w:ascii="等线(中文正文)" w:hAnsi="等线(中文正文)" w:cs="等线(中文正文)" w:eastAsia="等线(中文正文)"/>
          <w:b w:val="false"/>
          <w:i w:val="false"/>
          <w:sz w:val="20"/>
        </w:rPr>
        <w:t/>
      </w:r>
    </w:p>
    <w:p>
      <w:pPr>
        <w:pStyle w:val="ab"/>
      </w:pPr>
      <w:r>
        <w:t>在产品配置方面，主要跟踪了哪些风险等级的产品配置策略？</w:t>
      </w:r>
    </w:p>
    <w:p>
      <w:r>
        <w:rPr>
          <w:rFonts w:ascii="等线(中文正文)" w:hAnsi="等线(中文正文)" w:cs="等线(中文正文)" w:eastAsia="等线(中文正文)"/>
          <w:b w:val="false"/>
          <w:i w:val="false"/>
          <w:sz w:val="20"/>
        </w:rPr>
        <w:t>发言人1：我们跟踪了二级债基、偏债混合型基金以及平衡混合型基金等不同风险等级的产品配置策略，并简要介绍了这些策略的配置逻辑和年初以来的业绩表现情况。</w:t>
      </w:r>
    </w:p>
    <w:p>
      <w:r>
        <w:rPr>
          <w:rFonts w:ascii="等线(中文正文)" w:hAnsi="等线(中文正文)" w:cs="等线(中文正文)" w:eastAsia="等线(中文正文)"/>
          <w:b w:val="false"/>
          <w:i w:val="false"/>
          <w:sz w:val="20"/>
        </w:rPr>
        <w:t/>
      </w:r>
    </w:p>
    <w:p>
      <w:pPr>
        <w:pStyle w:val="ab"/>
      </w:pPr>
      <w:r>
        <w:t>如何构建和刻画宏观风险因子？</w:t>
      </w:r>
    </w:p>
    <w:p>
      <w:r>
        <w:rPr>
          <w:rFonts w:ascii="等线(中文正文)" w:hAnsi="等线(中文正文)" w:cs="等线(中文正文)" w:eastAsia="等线(中文正文)"/>
          <w:b w:val="false"/>
          <w:i w:val="false"/>
          <w:sz w:val="20"/>
        </w:rPr>
        <w:t>发言人1：我们尝试通过多种途径构建宏观风险因子，但最终倾向于首先使用宏观数据结合因子之间低相关性来构造六大维度（增长、通胀、流动性、实际汇率、实际利率、汇率和风险偏好）的宏观风险因子，并定期更新其编辑的变化方向和当前位置。当前处于偏极值位置的主要是流动性指标。</w:t>
      </w:r>
    </w:p>
    <w:p>
      <w:r>
        <w:rPr>
          <w:rFonts w:ascii="等线(中文正文)" w:hAnsi="等线(中文正文)" w:cs="等线(中文正文)" w:eastAsia="等线(中文正文)"/>
          <w:b w:val="false"/>
          <w:i w:val="false"/>
          <w:sz w:val="20"/>
        </w:rPr>
        <w:t/>
      </w:r>
    </w:p>
    <w:p>
      <w:pPr>
        <w:pStyle w:val="ab"/>
      </w:pPr>
      <w:r>
        <w:t>对于产业市场的中期和短期估值判断是怎样的？</w:t>
      </w:r>
    </w:p>
    <w:p>
      <w:r>
        <w:rPr>
          <w:rFonts w:ascii="等线(中文正文)" w:hAnsi="等线(中文正文)" w:cs="等线(中文正文)" w:eastAsia="等线(中文正文)"/>
          <w:b w:val="false"/>
          <w:i w:val="false"/>
          <w:sz w:val="20"/>
        </w:rPr>
        <w:t>发言人1：中期来看，市场估值处于合理偏低水平。我们从指数基本面景气程度、市场情绪以及股债性价比三个维度跟踪市场估值。目前，指数估值基本处于合理区间，情绪指标显示权益占优，ERP指标也表明权益相对更占优势，因此综合判断市场估值合理偏低，权益机会较多。</w:t>
      </w:r>
    </w:p>
    <w:p>
      <w:r>
        <w:rPr>
          <w:rFonts w:ascii="等线(中文正文)" w:hAnsi="等线(中文正文)" w:cs="等线(中文正文)" w:eastAsia="等线(中文正文)"/>
          <w:b w:val="false"/>
          <w:i w:val="false"/>
          <w:sz w:val="20"/>
        </w:rPr>
        <w:t/>
      </w:r>
    </w:p>
    <w:p>
      <w:pPr>
        <w:pStyle w:val="ab"/>
      </w:pPr>
      <w:r>
        <w:t>在当前市场环境下，从宏观层面看，哪些因素对市场有利好？</w:t>
      </w:r>
    </w:p>
    <w:p>
      <w:r>
        <w:rPr>
          <w:rFonts w:ascii="等线(中文正文)" w:hAnsi="等线(中文正文)" w:cs="等线(中文正文)" w:eastAsia="等线(中文正文)"/>
          <w:b w:val="false"/>
          <w:i w:val="false"/>
          <w:sz w:val="20"/>
        </w:rPr>
        <w:t>发言人1：自上而下视角看，当前市场对出口这一宏观数据较为敏感且有较强的交易或择时能力。而信贷、通胀等数据虽边际上偏弱，整体对短期市场交易层面产生负面影响。</w:t>
      </w:r>
    </w:p>
    <w:p>
      <w:r>
        <w:rPr>
          <w:rFonts w:ascii="等线(中文正文)" w:hAnsi="等线(中文正文)" w:cs="等线(中文正文)" w:eastAsia="等线(中文正文)"/>
          <w:b w:val="false"/>
          <w:i w:val="false"/>
          <w:sz w:val="20"/>
        </w:rPr>
        <w:t/>
      </w:r>
    </w:p>
    <w:p>
      <w:pPr>
        <w:pStyle w:val="ab"/>
      </w:pPr>
      <w:r>
        <w:t>微观层面上，市场情绪修复后的表现如何？</w:t>
      </w:r>
    </w:p>
    <w:p>
      <w:r>
        <w:rPr>
          <w:rFonts w:ascii="等线(中文正文)" w:hAnsi="等线(中文正文)" w:cs="等线(中文正文)" w:eastAsia="等线(中文正文)"/>
          <w:b w:val="false"/>
          <w:i w:val="false"/>
          <w:sz w:val="20"/>
        </w:rPr>
        <w:t>发言人1：经过七月份的调整后，八月份市场情绪有所修复，从跟踪的短期趋势和涨跌停差异来看，市场呈现相对偏暖的状态，综合评估后给予市场的判断是相对中性，结构性机会更为突出。</w:t>
      </w:r>
    </w:p>
    <w:p>
      <w:r>
        <w:rPr>
          <w:rFonts w:ascii="等线(中文正文)" w:hAnsi="等线(中文正文)" w:cs="等线(中文正文)" w:eastAsia="等线(中文正文)"/>
          <w:b w:val="false"/>
          <w:i w:val="false"/>
          <w:sz w:val="20"/>
        </w:rPr>
        <w:t/>
      </w:r>
    </w:p>
    <w:p>
      <w:pPr>
        <w:pStyle w:val="ab"/>
      </w:pPr>
      <w:r>
        <w:t>为何优先推荐小盘股作为投资方向？</w:t>
      </w:r>
    </w:p>
    <w:p>
      <w:r>
        <w:rPr>
          <w:rFonts w:ascii="等线(中文正文)" w:hAnsi="等线(中文正文)" w:cs="等线(中文正文)" w:eastAsia="等线(中文正文)"/>
          <w:b w:val="false"/>
          <w:i w:val="false"/>
          <w:sz w:val="20"/>
        </w:rPr>
        <w:t>发言人1：首先，小盘股与大盘股的估值相比，目前赔率接近历史50%分位数，具备一定的性价比。其次，在牛熊市转换过程中，小盘股在特定阶段会有阶段性的表现机会。当前市场可能正从牛市第二阶段转向第三阶段，小盘股的机会将增多。此外，量化产品超额回撤中，高贝塔因子持续回撤，而小市值因子在七月底出现触底反弹迹象，同时小盘相对红利的超额收益也显示出较强的均值回归性，因此小盘股具有较好的配置机会。</w:t>
      </w:r>
    </w:p>
    <w:p>
      <w:r>
        <w:rPr>
          <w:rFonts w:ascii="等线(中文正文)" w:hAnsi="等线(中文正文)" w:cs="等线(中文正文)" w:eastAsia="等线(中文正文)"/>
          <w:b w:val="false"/>
          <w:i w:val="false"/>
          <w:sz w:val="20"/>
        </w:rPr>
        <w:t/>
      </w:r>
    </w:p>
    <w:p>
      <w:pPr>
        <w:pStyle w:val="ab"/>
      </w:pPr>
      <w:r>
        <w:t>对比A股和港股，为何更倾向于A股？</w:t>
      </w:r>
    </w:p>
    <w:p>
      <w:r>
        <w:rPr>
          <w:rFonts w:ascii="等线(中文正文)" w:hAnsi="等线(中文正文)" w:cs="等线(中文正文)" w:eastAsia="等线(中文正文)"/>
          <w:b w:val="false"/>
          <w:i w:val="false"/>
          <w:sz w:val="20"/>
        </w:rPr>
        <w:t>发言人1：主要基于两方面原因：一是AH股比较中，港股不具备明显优势；二是港股定价更多受国内基本面及油价等影响，相较于A股并未充分受益于国内流动性外溢，因此短期港股机会相对较少。</w:t>
      </w:r>
    </w:p>
    <w:p>
      <w:r>
        <w:rPr>
          <w:rFonts w:ascii="等线(中文正文)" w:hAnsi="等线(中文正文)" w:cs="等线(中文正文)" w:eastAsia="等线(中文正文)"/>
          <w:b w:val="false"/>
          <w:i w:val="false"/>
          <w:sz w:val="20"/>
        </w:rPr>
        <w:t/>
      </w:r>
    </w:p>
    <w:p>
      <w:pPr>
        <w:pStyle w:val="ab"/>
      </w:pPr>
      <w:r>
        <w:t>黄金中期和短期配置逻辑是怎样的？</w:t>
      </w:r>
    </w:p>
    <w:p>
      <w:r>
        <w:rPr>
          <w:rFonts w:ascii="等线(中文正文)" w:hAnsi="等线(中文正文)" w:cs="等线(中文正文)" w:eastAsia="等线(中文正文)"/>
          <w:b w:val="false"/>
          <w:i w:val="false"/>
          <w:sz w:val="20"/>
        </w:rPr>
        <w:t>发言人1：中期逻辑上，市场对黄金配置需求持续，表现为央行持续增持黄金，尤其是国内央行购金速度加快，这源于投资者对冲美元信用风险的长逻辑。尽管二季度以来机构和个人配置黄金速度有所放缓，但整体仍以净买入为主，央行持续购买行为支撑了黄金估值中枢稳步向上。短期层面，虽然黄金ETF规模有所减弱，但央行净买入和其他机构净卖出后的整体净买入，有利于托底黄金估值。</w:t>
      </w:r>
    </w:p>
    <w:p>
      <w:r>
        <w:rPr>
          <w:rFonts w:ascii="等线(中文正文)" w:hAnsi="等线(中文正文)" w:cs="等线(中文正文)" w:eastAsia="等线(中文正文)"/>
          <w:b w:val="false"/>
          <w:i w:val="false"/>
          <w:sz w:val="20"/>
        </w:rPr>
        <w:t/>
      </w:r>
    </w:p>
    <w:p>
      <w:pPr>
        <w:pStyle w:val="ab"/>
      </w:pPr>
      <w:r>
        <w:t>在中期，如何评估投机资金对黄金市场的影响？</w:t>
      </w:r>
    </w:p>
    <w:p>
      <w:r>
        <w:rPr>
          <w:rFonts w:ascii="等线(中文正文)" w:hAnsi="等线(中文正文)" w:cs="等线(中文正文)" w:eastAsia="等线(中文正文)"/>
          <w:b w:val="false"/>
          <w:i w:val="false"/>
          <w:sz w:val="20"/>
        </w:rPr>
        <w:t>发言人1：我们可以通过观察黄金ETF的未平仓合约数量来评估投机资金的初期影响。年初时，黄金期权的未平仓合约数量是去年的三倍，显示出强烈的投机氛围。然而，随着二月份黄金价格下跌，未平仓活跃数量快速下降，在六月底七月底时降至年初水平的一半，即减少了50%。这导致黄金与传统股市（如A股和美股）的相关性大幅回落。</w:t>
      </w:r>
    </w:p>
    <w:p>
      <w:r>
        <w:rPr>
          <w:rFonts w:ascii="等线(中文正文)" w:hAnsi="等线(中文正文)" w:cs="等线(中文正文)" w:eastAsia="等线(中文正文)"/>
          <w:b w:val="false"/>
          <w:i w:val="false"/>
          <w:sz w:val="20"/>
        </w:rPr>
        <w:t/>
      </w:r>
    </w:p>
    <w:p>
      <w:pPr>
        <w:pStyle w:val="ab"/>
      </w:pPr>
      <w:r>
        <w:t>投机资金的减少对黄金有何积极影响？</w:t>
      </w:r>
    </w:p>
    <w:p>
      <w:r>
        <w:rPr>
          <w:rFonts w:ascii="等线(中文正文)" w:hAnsi="等线(中文正文)" w:cs="等线(中文正文)" w:eastAsia="等线(中文正文)"/>
          <w:b w:val="false"/>
          <w:i w:val="false"/>
          <w:sz w:val="20"/>
        </w:rPr>
        <w:t>发言人1：当这部分投机资金退出后，黄金将逐步摆脱与传统股市的同涨同跌走势，更多地体现其分散化配置的价值。此外，在短期内，黄金隐含波动率的下降也为交易带来了积极因素，因为相较于股票市场，黄金在上涨过程中波动率剧烈放大，所以在交易黄金时需密切关注波动率指标。</w:t>
      </w:r>
    </w:p>
    <w:p>
      <w:r>
        <w:rPr>
          <w:rFonts w:ascii="等线(中文正文)" w:hAnsi="等线(中文正文)" w:cs="等线(中文正文)" w:eastAsia="等线(中文正文)"/>
          <w:b w:val="false"/>
          <w:i w:val="false"/>
          <w:sz w:val="20"/>
        </w:rPr>
        <w:t/>
      </w:r>
    </w:p>
    <w:p>
      <w:pPr>
        <w:pStyle w:val="ab"/>
      </w:pPr>
      <w:r>
        <w:t>黄金隐含波动率的情况如何？</w:t>
      </w:r>
    </w:p>
    <w:p>
      <w:r>
        <w:rPr>
          <w:rFonts w:ascii="等线(中文正文)" w:hAnsi="等线(中文正文)" w:cs="等线(中文正文)" w:eastAsia="等线(中文正文)"/>
          <w:b w:val="false"/>
          <w:i w:val="false"/>
          <w:sz w:val="20"/>
        </w:rPr>
        <w:t>发言人1：自今年三月份以来，黄金隐含波动率呈现震荡下行状态，目前处于相对合理的水平。近期黄金价格出现持续的趋势突破，如果趋势延续，将有望迎来较好的交易机会。</w:t>
      </w:r>
    </w:p>
    <w:p>
      <w:r>
        <w:rPr>
          <w:rFonts w:ascii="等线(中文正文)" w:hAnsi="等线(中文正文)" w:cs="等线(中文正文)" w:eastAsia="等线(中文正文)"/>
          <w:b w:val="false"/>
          <w:i w:val="false"/>
          <w:sz w:val="20"/>
        </w:rPr>
        <w:t/>
      </w:r>
    </w:p>
    <w:p>
      <w:pPr>
        <w:pStyle w:val="ab"/>
      </w:pPr>
      <w:r>
        <w:t>黄金期限基差的变化如何？</w:t>
      </w:r>
    </w:p>
    <w:p>
      <w:r>
        <w:rPr>
          <w:rFonts w:ascii="等线(中文正文)" w:hAnsi="等线(中文正文)" w:cs="等线(中文正文)" w:eastAsia="等线(中文正文)"/>
          <w:b w:val="false"/>
          <w:i w:val="false"/>
          <w:sz w:val="20"/>
        </w:rPr>
        <w:t>发言人1：从六月份至七月份，黄金期货相对于现货从折价转为溢价，表明市场情绪逐渐转暖，这也是资产层面上积极的表现之一。</w:t>
      </w:r>
    </w:p>
    <w:p>
      <w:r>
        <w:rPr>
          <w:rFonts w:ascii="等线(中文正文)" w:hAnsi="等线(中文正文)" w:cs="等线(中文正文)" w:eastAsia="等线(中文正文)"/>
          <w:b w:val="false"/>
          <w:i w:val="false"/>
          <w:sz w:val="20"/>
        </w:rPr>
        <w:t/>
      </w:r>
    </w:p>
    <w:p>
      <w:pPr>
        <w:pStyle w:val="ab"/>
      </w:pPr>
      <w:r>
        <w:t>在产品配置过程中如何体现风险管理？</w:t>
      </w:r>
    </w:p>
    <w:p>
      <w:r>
        <w:rPr>
          <w:rFonts w:ascii="等线(中文正文)" w:hAnsi="等线(中文正文)" w:cs="等线(中文正文)" w:eastAsia="等线(中文正文)"/>
          <w:b w:val="false"/>
          <w:i w:val="false"/>
          <w:sz w:val="20"/>
        </w:rPr>
        <w:t>发言人1：在产品配置过程中，我们通过波动率和目标最大回撤来分层进行风险管理和控制，并设计了高、中、低不同风险等级的产品，对应的最大回撤分别为3%、6%和9%。同时，我们提供全天候配置策略以及针对权益、商品、黄金等多种资产分散化配置的策略，并根据市场情况灵活调整资产比例。</w:t>
      </w:r>
    </w:p>
    <w:p>
      <w:r>
        <w:rPr>
          <w:rFonts w:ascii="等线(中文正文)" w:hAnsi="等线(中文正文)" w:cs="等线(中文正文)" w:eastAsia="等线(中文正文)"/>
          <w:b w:val="false"/>
          <w:i w:val="false"/>
          <w:sz w:val="20"/>
        </w:rPr>
        <w:t/>
      </w:r>
    </w:p>
    <w:p>
      <w:pPr>
        <w:pStyle w:val="ab"/>
      </w:pPr>
      <w:r>
        <w:t>对于不同类型产品，有何具体的配置策略和业绩比较基准？</w:t>
      </w:r>
    </w:p>
    <w:p>
      <w:r>
        <w:rPr>
          <w:rFonts w:ascii="等线(中文正文)" w:hAnsi="等线(中文正文)" w:cs="等线(中文正文)" w:eastAsia="等线(中文正文)"/>
          <w:b w:val="false"/>
          <w:i w:val="false"/>
          <w:sz w:val="20"/>
        </w:rPr>
        <w:t>发言人1：目前提供的配置策略可以作为各类策略或不同风险等级产品的业绩基准，调仓频率相对较低，以年度调仓为主。在遵循均衡多资产配置理念的基础上，针对高风险偏好产品可适度积极交易和择时，而对于低风险产品，则考虑在小盘和成长板块积极寻找阿尔法以增厚收益。</w:t>
      </w:r>
    </w:p>
    <w:p>
      <w:r>
        <w:rPr>
          <w:rFonts w:ascii="等线(中文正文)" w:hAnsi="等线(中文正文)" w:cs="等线(中文正文)" w:eastAsia="等线(中文正文)"/>
          <w:b w:val="false"/>
          <w:i w:val="false"/>
          <w:sz w:val="20"/>
        </w:rPr>
        <w:t/>
      </w:r>
    </w:p>
    <w:p>
      <w:pPr>
        <w:pStyle w:val="ab"/>
      </w:pPr>
      <w:r>
        <w:t>当前产品运作的经验总结是什么？</w:t>
      </w:r>
    </w:p>
    <w:p>
      <w:r>
        <w:rPr>
          <w:rFonts w:ascii="等线(中文正文)" w:hAnsi="等线(中文正文)" w:cs="等线(中文正文)" w:eastAsia="等线(中文正文)"/>
          <w:b w:val="false"/>
          <w:i w:val="false"/>
          <w:sz w:val="20"/>
        </w:rPr>
        <w:t>发言人1：经过今年尤其是七八月份市场的大幅波动，高风险偏好产品的回撤压力较大，而偏绝对收益的产品在七月份出现明显反弹。即使在高风险产品中，均衡的多资产配置也使得产品仍能在SA层面上实现正收益。对于低风险产品，倾向于在小盘和成长板块寻找阿尔法以增强收益。</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2026-08-10T14:43:47Z</dcterms:created>
  <dc:creator>Apache POI</dc:creator>
</cp:coreProperties>
</file>