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开源传媒 传媒周一谈：继续布局国产模型、AI应用，关注电影暑期档升温 260810_导读</w:t>
      </w:r>
    </w:p>
    <w:p>
      <w:pPr>
        <w:pStyle w:val="a0"/>
        <w:jc w:val="center"/>
      </w:pPr>
      <w:r>
        <w:t>2026年08月10日 22:40</w:t>
      </w:r>
    </w:p>
    <w:p>
      <w:pPr>
        <w:pStyle w:val="a7"/>
      </w:pPr>
      <w:r>
        <w:t>关键词</w:t>
      </w:r>
    </w:p>
    <w:p>
      <w:r>
        <w:rPr>
          <w:rFonts w:ascii="等线(中文正文)" w:hAnsi="等线(中文正文)" w:cs="等线(中文正文)" w:eastAsia="等线(中文正文)"/>
          <w:b w:val="false"/>
          <w:i w:val="false"/>
          <w:sz w:val="20"/>
        </w:rPr>
        <w:t xml:space="preserve">AI 国产模型 算力 应用 开源 大模型 多模态 语音模型 物理AI 智能机器人 办公 传媒互联网 快手 阿里 腾讯 昆仑万维 蓝色光标 跃龙集团 中文在线 荣信文化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开源证券传媒互联网团队强调了国产模型AI应用和电影暑期档的发展前景，指出AI产业正处于大机会期，涵盖模型、算力与应用的协同发展。团队提及国产模型在大参数、开源方向及多模态能力上的进展，并探讨了AI在办公、营销等领域的广泛应用。同时，预测电影暑期档将升温，特别关注《欢迎来到龙餐馆》和《奥德赛》等可能引发观影热潮的电影。建议投资者关注AI布局及电影板块投资机会，如中国电影等标的，表达了对中国市场持续看好的态度。最后，提醒与会者，讨论内容仅供特定客户交流，不得录音或转发。</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AI产业布局与国产模型应用展望</w:t>
      </w:r>
    </w:p>
    <w:p>
      <w:r>
        <w:rPr>
          <w:rFonts w:ascii="等线(中文正文)" w:hAnsi="等线(中文正文)" w:cs="等线(中文正文)" w:eastAsia="等线(中文正文)"/>
          <w:b w:val="false"/>
          <w:i w:val="false"/>
          <w:sz w:val="20"/>
        </w:rPr>
        <w:t>会议强调了AI产业中模型、算力与应用同步发展的逻辑，指出AI硬科技与应用并非跷跷板效应，而是相辅相成，共同推动产业发展。当前，国产模型和核心AI应用方向受到重点关注，建议投资者围绕AI主线布局，以把握AI产业高速发展带来的机遇。</w:t>
      </w:r>
    </w:p>
    <w:p>
      <w:r>
        <w:rPr>
          <w:rFonts w:ascii="等线(中文正文)" w:hAnsi="等线(中文正文)" w:cs="等线(中文正文)" w:eastAsia="等线(中文正文)"/>
          <w:b w:val="false"/>
          <w:i w:val="false"/>
          <w:sz w:val="20"/>
        </w:rPr>
        <w:t/>
      </w:r>
    </w:p>
    <w:p>
      <w:pPr>
        <w:pStyle w:val="ab"/>
        <w:numPr>
          <w:numId w:val="2"/>
        </w:numPr>
      </w:pPr>
      <w:r>
        <w:t>02:27 国产模型的突破与优势</w:t>
      </w:r>
    </w:p>
    <w:p>
      <w:r>
        <w:rPr>
          <w:rFonts w:ascii="等线(中文正文)" w:hAnsi="等线(中文正文)" w:cs="等线(中文正文)" w:eastAsia="等线(中文正文)"/>
          <w:b w:val="false"/>
          <w:i w:val="false"/>
          <w:sz w:val="20"/>
        </w:rPr>
        <w:t>对话讨论了国产模型在大参数、开源方向、多模态能力等方面的持续突破，强调了其与全球领先闭源模型的区别，以及在逻辑智能、多模态模型等方面的进步，指出国产模型在全球多模态领域已处于领先地位，且与互联网巨头的生态形成闭环，推动商业化和云业务增长。</w:t>
      </w:r>
    </w:p>
    <w:p>
      <w:r>
        <w:rPr>
          <w:rFonts w:ascii="等线(中文正文)" w:hAnsi="等线(中文正文)" w:cs="等线(中文正文)" w:eastAsia="等线(中文正文)"/>
          <w:b w:val="false"/>
          <w:i w:val="false"/>
          <w:sz w:val="20"/>
        </w:rPr>
        <w:t/>
      </w:r>
    </w:p>
    <w:p>
      <w:pPr>
        <w:pStyle w:val="ab"/>
        <w:numPr>
          <w:numId w:val="3"/>
        </w:numPr>
      </w:pPr>
      <w:r>
        <w:t>05:07 腾讯阿里语音模型新突破与AI办公领域快速发展</w:t>
      </w:r>
    </w:p>
    <w:p>
      <w:r>
        <w:rPr>
          <w:rFonts w:ascii="等线(中文正文)" w:hAnsi="等线(中文正文)" w:cs="等线(中文正文)" w:eastAsia="等线(中文正文)"/>
          <w:b w:val="false"/>
          <w:i w:val="false"/>
          <w:sz w:val="20"/>
        </w:rPr>
        <w:t>近期，腾讯和阿里在语音模型领域取得显著进展，腾讯发布了新一代语音识别模型混元AS23.0，阿里推出国内首个一站式AI语音生产力平台。此外，AI办公领域发展迅速，腾讯旗下平台work body月活用户环比增长398%。西宇科技mini MAX纳入港股通，宇数科技IPO募集资金将投向智能机器人模型研发，物理AI赛道关注度和商业化进程有望加快。</w:t>
      </w:r>
    </w:p>
    <w:p>
      <w:r>
        <w:rPr>
          <w:rFonts w:ascii="等线(中文正文)" w:hAnsi="等线(中文正文)" w:cs="等线(中文正文)" w:eastAsia="等线(中文正文)"/>
          <w:b w:val="false"/>
          <w:i w:val="false"/>
          <w:sz w:val="20"/>
        </w:rPr>
        <w:t/>
      </w:r>
    </w:p>
    <w:p>
      <w:pPr>
        <w:pStyle w:val="ab"/>
        <w:numPr>
          <w:numId w:val="4"/>
        </w:numPr>
      </w:pPr>
      <w:r>
        <w:t>08:30 AI商业化进展与国产模型推荐</w:t>
      </w:r>
    </w:p>
    <w:p>
      <w:r>
        <w:rPr>
          <w:rFonts w:ascii="等线(中文正文)" w:hAnsi="等线(中文正文)" w:cs="等线(中文正文)" w:eastAsia="等线(中文正文)"/>
          <w:b w:val="false"/>
          <w:i w:val="false"/>
          <w:sz w:val="20"/>
        </w:rPr>
        <w:t>对话深入探讨了国产模型在语音、机器人、办公等领域的突破，及其在数字娱乐、传媒互联网、企业办公等广泛领域的应用前景。推荐腾讯、阿里、快手等国产模型设计标的，以及昆仑万维、五一世界古城科技等物理AI设计标的。同时，强调了在AI布局的同时，关注低位筹码、预期低、基本面向好的新方向，特别是电影板块的投资价值。</w:t>
      </w:r>
    </w:p>
    <w:p>
      <w:r>
        <w:rPr>
          <w:rFonts w:ascii="等线(中文正文)" w:hAnsi="等线(中文正文)" w:cs="等线(中文正文)" w:eastAsia="等线(中文正文)"/>
          <w:b w:val="false"/>
          <w:i w:val="false"/>
          <w:sz w:val="20"/>
        </w:rPr>
        <w:t/>
      </w:r>
    </w:p>
    <w:p>
      <w:pPr>
        <w:pStyle w:val="ab"/>
        <w:numPr>
          <w:numId w:val="5"/>
        </w:numPr>
      </w:pPr>
      <w:r>
        <w:t>10:36 暑期档电影市场升温，进口与国产佳作共舞</w:t>
      </w:r>
    </w:p>
    <w:p>
      <w:r>
        <w:rPr>
          <w:rFonts w:ascii="等线(中文正文)" w:hAnsi="等线(中文正文)" w:cs="等线(中文正文)" w:eastAsia="等线(中文正文)"/>
          <w:b w:val="false"/>
          <w:i w:val="false"/>
          <w:sz w:val="20"/>
        </w:rPr>
        <w:t>暑期档电影市场表现亮眼，进口电影《蜘蛛侠：崭新之日》票房突破12.85亿，有望达到17亿。国产电影《欢迎来龙餐馆》与《奥德赛》也备受期待，前者由文牧野导演，沈腾主演，后者点映场一票难求，两部电影题材独特，口碑良好，预计将迎来票房与口碑的双丰收。</w:t>
      </w:r>
    </w:p>
    <w:p>
      <w:r>
        <w:rPr>
          <w:rFonts w:ascii="等线(中文正文)" w:hAnsi="等线(中文正文)" w:cs="等线(中文正文)" w:eastAsia="等线(中文正文)"/>
          <w:b w:val="false"/>
          <w:i w:val="false"/>
          <w:sz w:val="20"/>
        </w:rPr>
        <w:t/>
      </w:r>
    </w:p>
    <w:p>
      <w:pPr>
        <w:pStyle w:val="ab"/>
        <w:numPr>
          <w:numId w:val="6"/>
        </w:numPr>
      </w:pPr>
      <w:r>
        <w:t>13:53 奥德赛：诺兰新作引发观影热潮</w:t>
      </w:r>
    </w:p>
    <w:p>
      <w:r>
        <w:rPr>
          <w:rFonts w:ascii="等线(中文正文)" w:hAnsi="等线(中文正文)" w:cs="等线(中文正文)" w:eastAsia="等线(中文正文)"/>
          <w:b w:val="false"/>
          <w:i w:val="false"/>
          <w:sz w:val="20"/>
        </w:rPr>
        <w:t>诺兰导演的新片奥德赛，凭借其过往作品的高口碑和票房成绩，以及与荷马史诗的完美契合，有望在国内掀起观影热潮。影片已获海外好评，票房破12亿美元，国内上映后预计表现不俗。当前电影板块处于低位，建议投资者关注布局。</w:t>
      </w:r>
    </w:p>
    <w:p>
      <w:r>
        <w:rPr>
          <w:rFonts w:ascii="等线(中文正文)" w:hAnsi="等线(中文正文)" w:cs="等线(中文正文)" w:eastAsia="等线(中文正文)"/>
          <w:b w:val="false"/>
          <w:i w:val="false"/>
          <w:sz w:val="20"/>
        </w:rPr>
        <w:t/>
      </w:r>
    </w:p>
    <w:p>
      <w:pPr>
        <w:pStyle w:val="ab"/>
        <w:numPr>
          <w:numId w:val="7"/>
        </w:numPr>
      </w:pPr>
      <w:r>
        <w:t>15:18 中国电影与暑期档电影市场分析</w:t>
      </w:r>
    </w:p>
    <w:p>
      <w:r>
        <w:rPr>
          <w:rFonts w:ascii="等线(中文正文)" w:hAnsi="等线(中文正文)" w:cs="等线(中文正文)" w:eastAsia="等线(中文正文)"/>
          <w:b w:val="false"/>
          <w:i w:val="false"/>
          <w:sz w:val="20"/>
        </w:rPr>
        <w:t>讨论了中国电影在暑期档电影市场的优势，特别是作为《欢迎来龙餐馆》和《奥德赛》等电影的出品方、发行方及引进方，其直接受益于票房火热。同时，提及如意电影、幸福蓝海等公司作为相关标的，建议关注AI国产模型、核心用户布局及暑期档电影板块。强调了专业投资交流的限制和版权保护的重要性。</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强调了在AI领域围绕国产模型和核心应用布局的重要性，并指出尽管七月份AI领域经历了一定调整，特别是硬科技和算力相关领域，但应用端的反弹显示市场正在经历筹码再平衡。他看好国产模型的持续发展，认为模型、算力与应用之间的相辅相成将促进AI的快速发展，从而加速B端C端应用的渗透，提升大模型公司和AI应用需求方对算力的需求。同时，他关注电影暑期档的消费升温，特别推荐了《欢迎来到龙餐馆》和《奥德赛》等影片，预计这些影片将带动电影板块的票房和口碑双丰收，并认为中国电影及院线公司可能直接受益于电影票房的火热，适合作为投资标的。最后，他提醒会议内容仅供专业投资机构客户或受邀客户交流，强调了会议内容的保密性，所有信息不构成投资建议。</w:t>
      </w:r>
    </w:p>
    <w:p>
      <w:r>
        <w:rPr>
          <w:rFonts w:ascii="等线(中文正文)" w:hAnsi="等线(中文正文)" w:cs="等线(中文正文)" w:eastAsia="等线(中文正文)"/>
          <w:b w:val="false"/>
          <w:i w:val="false"/>
          <w:sz w:val="20"/>
        </w:rPr>
        <w:t/>
      </w:r>
    </w:p>
    <w:p>
      <w:pPr>
        <w:pStyle w:val="a7"/>
      </w:pPr>
      <w:r>
        <w:t>要点回顾</w:t>
      </w:r>
    </w:p>
    <w:p>
      <w:pPr>
        <w:pStyle w:val="ab"/>
      </w:pPr>
      <w:r>
        <w:t>在AI领域，您们团队对投资者的核心布局建议是什么？</w:t>
      </w:r>
    </w:p>
    <w:p>
      <w:r>
        <w:rPr>
          <w:rFonts w:ascii="等线(中文正文)" w:hAnsi="等线(中文正文)" w:cs="等线(中文正文)" w:eastAsia="等线(中文正文)"/>
          <w:b w:val="false"/>
          <w:i w:val="false"/>
          <w:sz w:val="20"/>
        </w:rPr>
        <w:t>发言人1：我们坚定地建议投资者继续围绕AI这条核心主线来布局，并关注模型、算力到应用的相辅相成、螺旋式上升的发展逻辑。尤其在七月份AI硬科技相关领域出现调整后，我们看到算力领域如PCB上游材料等有所反弹，而应用端则出现调整。我们认为AI硬科技与算力并非跷跷板效应，它们会同步或相互促进整体产业链订单收入和业绩的增长。因此，真正的AI产业大机会在于模型、算力与应用的共同向上增长，这将带动相关领域公司估值和市值的提升。</w:t>
      </w:r>
    </w:p>
    <w:p>
      <w:r>
        <w:rPr>
          <w:rFonts w:ascii="等线(中文正文)" w:hAnsi="等线(中文正文)" w:cs="等线(中文正文)" w:eastAsia="等线(中文正文)"/>
          <w:b w:val="false"/>
          <w:i w:val="false"/>
          <w:sz w:val="20"/>
        </w:rPr>
        <w:t/>
      </w:r>
    </w:p>
    <w:p>
      <w:pPr>
        <w:pStyle w:val="ab"/>
      </w:pPr>
      <w:r>
        <w:t>国产模型的发展现状如何？国产模型如何与其他领域的结合推动自身发展？</w:t>
      </w:r>
    </w:p>
    <w:p>
      <w:r>
        <w:rPr>
          <w:rFonts w:ascii="等线(中文正文)" w:hAnsi="等线(中文正文)" w:cs="等线(中文正文)" w:eastAsia="等线(中文正文)"/>
          <w:b w:val="false"/>
          <w:i w:val="false"/>
          <w:sz w:val="20"/>
        </w:rPr>
        <w:t>发言人1：国产模型在最近几周密集发布了多个前沿模型，包括GM5.2质谱、TMK3、阿里千问3.8 max以及P/V4等。这些模型在大参数方面取得突破，如KMK3拥有2.8万亿参数，并且各模型厂商都在储备更大参数的模型。此外，国产模型以开源为主要发展方向，这与全球头部闭源模型形成对比，更便于模型的全面落地应用。国产模型不仅在推理、coding agent能力上有所建树，在动模态能力等方面也取得显著进展，各个模型厂商各有侧重和核心优势。国产模型厂商作为互联网巨头，拥有综合性的要求和多模态模型的优势，能够利用自身在移动互联网时代积累的渠道流量优势。例如，阿里云在视频理解、视频生成、语音理解及语音生成等方面持续发力，并且发布的C2.5模型结合了抖音和快手等短视频平台的大量视频素材优势，进一步推动商业化进程和变现能力。阿里云和腾讯背靠庞大的B端C端用户基础和渠道流量优势，不断推进综合态的突破，从而拉动自身生态内模型token的增长和云业务的持续高增长。</w:t>
      </w:r>
    </w:p>
    <w:p>
      <w:r>
        <w:rPr>
          <w:rFonts w:ascii="等线(中文正文)" w:hAnsi="等线(中文正文)" w:cs="等线(中文正文)" w:eastAsia="等线(中文正文)"/>
          <w:b w:val="false"/>
          <w:i w:val="false"/>
          <w:sz w:val="20"/>
        </w:rPr>
        <w:t/>
      </w:r>
    </w:p>
    <w:p>
      <w:pPr>
        <w:pStyle w:val="ab"/>
      </w:pPr>
      <w:r>
        <w:t>国产模型在动模态方面的表现如何？</w:t>
      </w:r>
    </w:p>
    <w:p>
      <w:r>
        <w:rPr>
          <w:rFonts w:ascii="等线(中文正文)" w:hAnsi="等线(中文正文)" w:cs="等线(中文正文)" w:eastAsia="等线(中文正文)"/>
          <w:b w:val="false"/>
          <w:i w:val="false"/>
          <w:sz w:val="20"/>
        </w:rPr>
        <w:t>发言人1：在动模态方面，我们近期建议投资者重点关注国产动模态模型，因为国产模型在全球顶尖动模态模型中表现突出，不断缩小与国际顶尖模型的距离，甚至在多模态能力方面已达到全球领先水平。最近几周，国产模型在视频理解和视频生成等方面取得了显著进步，同时语音模型如腾讯和阿里新一代语音模型及其相关产品的发布也提升了语音理解、语音生成的能力。</w:t>
      </w:r>
    </w:p>
    <w:p>
      <w:r>
        <w:rPr>
          <w:rFonts w:ascii="等线(中文正文)" w:hAnsi="等线(中文正文)" w:cs="等线(中文正文)" w:eastAsia="等线(中文正文)"/>
          <w:b w:val="false"/>
          <w:i w:val="false"/>
          <w:sz w:val="20"/>
        </w:rPr>
        <w:t/>
      </w:r>
    </w:p>
    <w:p>
      <w:pPr>
        <w:pStyle w:val="ab"/>
      </w:pPr>
      <w:r>
        <w:t>腾讯和阿里巴巴在语音识别技术方面有哪些新的进展？这些语音技术和平台的应用场景有哪些？</w:t>
      </w:r>
    </w:p>
    <w:p>
      <w:r>
        <w:rPr>
          <w:rFonts w:ascii="等线(中文正文)" w:hAnsi="等线(中文正文)" w:cs="等线(中文正文)" w:eastAsia="等线(中文正文)"/>
          <w:b w:val="false"/>
          <w:i w:val="false"/>
          <w:sz w:val="20"/>
        </w:rPr>
        <w:t>发言人1：腾讯在8月4号发布了新一代的语音识别模型混元AS23.0 review，该模型融合了语言理解能力与高精度语音识别技术，在多个维度上实现了大幅提升，能够给出更准确连贯且符合用户意图的转写结果。而阿里巴巴则在8月7号推出了国内首个一站式AI语音生产力平台——good radio，该平台基于自研的千万级语音模型，集成了语音记录、语音智能体、音频内容创作工具等功能，旨在通过叠加语音理解与图文生成能力，为企业用户提供便捷高效的语音转文和内容创作解决方案。腾讯阿里云的语音模型和平台有望在多个领域增强其变现能力，包括但不限于企业级办公、生活学习、游戏、影视短剧直播、营销宣传广告等多媒体内容生成过程，以及日常聊天中的语音转写和理解输出，甚至方言理解。这些技术因其广泛的适用性和与腾讯阿里自身优势场景的贴合性，对于促进AI技术的商业化进程具有重要意义。</w:t>
      </w:r>
    </w:p>
    <w:p>
      <w:r>
        <w:rPr>
          <w:rFonts w:ascii="等线(中文正文)" w:hAnsi="等线(中文正文)" w:cs="等线(中文正文)" w:eastAsia="等线(中文正文)"/>
          <w:b w:val="false"/>
          <w:i w:val="false"/>
          <w:sz w:val="20"/>
        </w:rPr>
        <w:t/>
      </w:r>
    </w:p>
    <w:p>
      <w:pPr>
        <w:pStyle w:val="ab"/>
      </w:pPr>
      <w:r>
        <w:t>AI办公赛道上有哪些积极的变化？</w:t>
      </w:r>
    </w:p>
    <w:p>
      <w:r>
        <w:rPr>
          <w:rFonts w:ascii="等线(中文正文)" w:hAnsi="等线(中文正文)" w:cs="等线(中文正文)" w:eastAsia="等线(中文正文)"/>
          <w:b w:val="false"/>
          <w:i w:val="false"/>
          <w:sz w:val="20"/>
        </w:rPr>
        <w:t>发言人1：以腾讯旗下的AI办公平台work body为例，其7月份月活跃用户环比增长了398%，增长幅度高达五倍。此外，国产模型mini max于8月6号纳入港股通，为南下资金提供了配置机会。同时，宇数科技也开启了IPO申购，其募集资金将超过20亿投入智能机器人的模型研发，这将进一步带动物理AI赛道的关注和商业化进程。</w:t>
      </w:r>
    </w:p>
    <w:p>
      <w:r>
        <w:rPr>
          <w:rFonts w:ascii="等线(中文正文)" w:hAnsi="等线(中文正文)" w:cs="等线(中文正文)" w:eastAsia="等线(中文正文)"/>
          <w:b w:val="false"/>
          <w:i w:val="false"/>
          <w:sz w:val="20"/>
        </w:rPr>
        <w:t/>
      </w:r>
    </w:p>
    <w:p>
      <w:pPr>
        <w:pStyle w:val="ab"/>
      </w:pPr>
      <w:r>
        <w:t>国产模型突破及AI应用的最新进展对整个AI行业意味着什么？</w:t>
      </w:r>
    </w:p>
    <w:p>
      <w:r>
        <w:rPr>
          <w:rFonts w:ascii="等线(中文正文)" w:hAnsi="等线(中文正文)" w:cs="等线(中文正文)" w:eastAsia="等线(中文正文)"/>
          <w:b w:val="false"/>
          <w:i w:val="false"/>
          <w:sz w:val="20"/>
        </w:rPr>
        <w:t>发言人1：国产模型语音模型的突破、机器人模型后续的进展以及AI办公等领域的积极变化，共同验证了从模型到应用的能力迭代和商业化进程的持续加快。这将拉动国产模型自身的发展，并加速模型和agent在数字娱乐内容生产、传媒互联网、企业办公、物理AI（如机器人、智能驾驶、工业机器人）等更广泛领域的应用渗透，从而显著扩大AI应用的商业化空间。</w:t>
      </w:r>
    </w:p>
    <w:p>
      <w:r>
        <w:rPr>
          <w:rFonts w:ascii="等线(中文正文)" w:hAnsi="等线(中文正文)" w:cs="等线(中文正文)" w:eastAsia="等线(中文正文)"/>
          <w:b w:val="false"/>
          <w:i w:val="false"/>
          <w:sz w:val="20"/>
        </w:rPr>
        <w:t/>
      </w:r>
    </w:p>
    <w:p>
      <w:pPr>
        <w:pStyle w:val="ab"/>
      </w:pPr>
      <w:r>
        <w:t>对于AI投资布局有何建议？</w:t>
      </w:r>
    </w:p>
    <w:p>
      <w:r>
        <w:rPr>
          <w:rFonts w:ascii="等线(中文正文)" w:hAnsi="等线(中文正文)" w:cs="等线(中文正文)" w:eastAsia="等线(中文正文)"/>
          <w:b w:val="false"/>
          <w:i w:val="false"/>
          <w:sz w:val="20"/>
        </w:rPr>
        <w:t>发言人1：建议投资者在继续看好国产模型及核心AI应用方向的同时，也应关注那些筹码出清、低位且基本面持续向好甚至存在超预期的新方向。特别是在当前市场风格较为均衡的情况下，部分机构持仓处于历史低位，估值也十分低估的领域，如电影板块，具有较大的边际向好弹性，因此是一个值得关注的投资布局方向。</w:t>
      </w:r>
    </w:p>
    <w:p>
      <w:r>
        <w:rPr>
          <w:rFonts w:ascii="等线(中文正文)" w:hAnsi="等线(中文正文)" w:cs="等线(中文正文)" w:eastAsia="等线(中文正文)"/>
          <w:b w:val="false"/>
          <w:i w:val="false"/>
          <w:sz w:val="20"/>
        </w:rPr>
        <w:t/>
      </w:r>
    </w:p>
    <w:p>
      <w:pPr>
        <w:pStyle w:val="ab"/>
      </w:pPr>
      <w:r>
        <w:t>在当下，为什么建议投资者关注并布局电影板块，特别是暑期档？接下来哪些电影可能推动暑期电影消费进入高潮阶段？</w:t>
      </w:r>
    </w:p>
    <w:p>
      <w:r>
        <w:rPr>
          <w:rFonts w:ascii="等线(中文正文)" w:hAnsi="等线(中文正文)" w:cs="等线(中文正文)" w:eastAsia="等线(中文正文)"/>
          <w:b w:val="false"/>
          <w:i w:val="false"/>
          <w:sz w:val="20"/>
        </w:rPr>
        <w:t>发言人1：我们建议投资者积极关注和布局电影板块，主要是因为暑期档消费出现了明显的升温现象，存在潜在的超预期可能性。从暑期档开始，像《功夫女足》和《8000》等电影的表现都不错，尤其是《8000》获得了口碑和票房双丰收。进入8月份以来，进口电影《蜘蛛侠系列：崭新之日》在中国内地取得了接近13亿的票房，而《猫眼镜测试》有望达到接近17亿的票房，这显示了进口电影近年来较好的市场表现。此外，国产电影如《南京照相馆》、《独行月球》等在暑期档也表现出色。今年暑期档的《蜘蛛侠》系列电影在大家关注度不高的情况下表现突出，证明了其具有较好的市场潜力。接下来，尤其是这一周及未来周末到下周，几部重要电影的上映将可能带动暑期电影消费进入高潮。例如，《欢迎来龙餐馆》这部由文牧野导演执导的影片，其点映和预售票房已接近1.5亿，并且口碑持续发酵，逆跌态势明显。影片以现实题材和小人物的方式描绘了宏大时代背景下的故事，具备优秀电影的所有要素，有望在8月11日正式上映后迎来票房和口碑双丰收。另一部电影《奥德赛》作为全球知名导演克里斯托弗·洛兰的作品，凭借其历史冒险动作题材以及之前作品的高口碑和票房成绩，也将在8月14日上映后有望在国内掀起观影热潮，进一步推动暑期电影消费高潮的到来。</w:t>
      </w:r>
    </w:p>
    <w:p>
      <w:r>
        <w:rPr>
          <w:rFonts w:ascii="等线(中文正文)" w:hAnsi="等线(中文正文)" w:cs="等线(中文正文)" w:eastAsia="等线(中文正文)"/>
          <w:b w:val="false"/>
          <w:i w:val="false"/>
          <w:sz w:val="20"/>
        </w:rPr>
        <w:t/>
      </w:r>
    </w:p>
    <w:p>
      <w:pPr>
        <w:pStyle w:val="ab"/>
      </w:pPr>
      <w:r>
        <w:t>对于这两部电影，有哪些相关上市公司可能会受益？</w:t>
      </w:r>
    </w:p>
    <w:p>
      <w:r>
        <w:rPr>
          <w:rFonts w:ascii="等线(中文正文)" w:hAnsi="等线(中文正文)" w:cs="等线(中文正文)" w:eastAsia="等线(中文正文)"/>
          <w:b w:val="false"/>
          <w:i w:val="false"/>
          <w:sz w:val="20"/>
        </w:rPr>
        <w:t>发言人1：这两部电影的相关度最大的是上市公司中国电影。它不仅是《欢迎来龙餐馆》的出品方，在出品方排序中排名第三，预期投资比例较高，同时其旗下的中影影院、线影院等院线公司将直接受益于这两部电影的票房表现。另外，中国电影还是唯二的进口电影引进方和发行方，因此无论哪部电影表现良好，中国电影都将直接受益。此外，如意电影作为《欢迎来龙餐馆》的出品方，以及幸福蓝海、金鹰影视等院线公司也可能从中受益。因此，从这个角度出发，中国电影以及其他相关院线公司可作为投资布局的重点标的。</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2026-08-10T14:43:47Z</dcterms:created>
  <dc:creator>Apache POI</dc:creator>
</cp:coreProperties>
</file>