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2BD15">
      <w:pPr>
        <w:pStyle w:val="2"/>
        <w:rPr>
          <w:rFonts w:ascii="楷体" w:hAnsi="楷体" w:eastAsia="楷体" w:cs="楷体"/>
          <w:lang w:eastAsia="zh-CN"/>
        </w:rPr>
      </w:pPr>
      <w:r>
        <w:rPr>
          <w:rFonts w:hint="eastAsia" w:ascii="楷体" w:hAnsi="楷体" w:eastAsia="楷体" w:cs="楷体"/>
          <w:lang w:eastAsia="zh-CN"/>
        </w:rPr>
        <w:t>会议要点</w:t>
      </w:r>
    </w:p>
    <w:p w14:paraId="2F0CEE7F">
      <w:pPr>
        <w:pStyle w:val="4"/>
        <w:rPr>
          <w:rFonts w:ascii="楷体" w:hAnsi="楷体" w:eastAsia="楷体" w:cs="楷体"/>
          <w:lang w:eastAsia="zh-CN"/>
        </w:rPr>
      </w:pPr>
      <w:r>
        <w:rPr>
          <w:rFonts w:hint="eastAsia" w:ascii="楷体" w:hAnsi="楷体" w:eastAsia="楷体" w:cs="楷体"/>
          <w:lang w:eastAsia="zh-CN"/>
        </w:rPr>
        <w:t>1. 磷化铟衬底需求情况</w:t>
      </w:r>
    </w:p>
    <w:p w14:paraId="0DD42A8C">
      <w:pPr>
        <w:pStyle w:val="24"/>
        <w:numPr>
          <w:ilvl w:val="0"/>
          <w:numId w:val="1"/>
        </w:numPr>
        <w:rPr>
          <w:rFonts w:ascii="楷体" w:hAnsi="楷体" w:eastAsia="楷体" w:cs="楷体"/>
          <w:lang w:eastAsia="zh-CN"/>
        </w:rPr>
      </w:pPr>
      <w:r>
        <w:rPr>
          <w:rFonts w:hint="eastAsia" w:ascii="楷体" w:hAnsi="楷体" w:eastAsia="楷体" w:cs="楷体"/>
          <w:lang w:eastAsia="zh-CN"/>
        </w:rPr>
        <w:t>核心应用场景及需求规模：</w:t>
      </w:r>
    </w:p>
    <w:p w14:paraId="22CEF974">
      <w:pPr>
        <w:pStyle w:val="24"/>
        <w:numPr>
          <w:ilvl w:val="1"/>
          <w:numId w:val="1"/>
        </w:numPr>
        <w:rPr>
          <w:rFonts w:ascii="楷体" w:hAnsi="楷体" w:eastAsia="楷体" w:cs="楷体"/>
          <w:lang w:eastAsia="zh-CN"/>
        </w:rPr>
      </w:pPr>
      <w:r>
        <w:rPr>
          <w:rFonts w:hint="eastAsia" w:ascii="楷体" w:hAnsi="楷体" w:eastAsia="楷体" w:cs="楷体"/>
          <w:lang w:eastAsia="zh-CN"/>
        </w:rPr>
        <w:t>光通信及AI算力是当前最大需求领域：2026年需求量接近200万片，2027年预计达到250-280万片，2028年需求量将达400-500万片，2029年需求将进一步提升。</w:t>
      </w:r>
    </w:p>
    <w:p w14:paraId="0954543D">
      <w:pPr>
        <w:pStyle w:val="24"/>
        <w:numPr>
          <w:ilvl w:val="1"/>
          <w:numId w:val="1"/>
        </w:numPr>
        <w:rPr>
          <w:rFonts w:ascii="楷体" w:hAnsi="楷体" w:eastAsia="楷体" w:cs="楷体"/>
          <w:lang w:eastAsia="zh-CN"/>
        </w:rPr>
      </w:pPr>
      <w:r>
        <w:rPr>
          <w:rFonts w:hint="eastAsia" w:ascii="楷体" w:hAnsi="楷体" w:eastAsia="楷体" w:cs="楷体"/>
          <w:lang w:eastAsia="zh-CN"/>
        </w:rPr>
        <w:t>其他应用场景包括射频芯片、卫星通信、雷达、传感器、量子技术等，当前整体用量较小，尚未形成规模需求。</w:t>
      </w:r>
    </w:p>
    <w:p w14:paraId="31330FAA">
      <w:pPr>
        <w:pStyle w:val="24"/>
        <w:numPr>
          <w:ilvl w:val="0"/>
          <w:numId w:val="1"/>
        </w:numPr>
        <w:rPr>
          <w:rFonts w:ascii="楷体" w:hAnsi="楷体" w:eastAsia="楷体" w:cs="楷体"/>
        </w:rPr>
      </w:pPr>
      <w:r>
        <w:rPr>
          <w:rFonts w:hint="eastAsia" w:ascii="楷体" w:hAnsi="楷体" w:eastAsia="楷体" w:cs="楷体"/>
        </w:rPr>
        <w:t>需求测算方式：</w:t>
      </w:r>
    </w:p>
    <w:p w14:paraId="394F215A">
      <w:pPr>
        <w:pStyle w:val="24"/>
        <w:numPr>
          <w:ilvl w:val="1"/>
          <w:numId w:val="1"/>
        </w:numPr>
        <w:rPr>
          <w:rFonts w:ascii="楷体" w:hAnsi="楷体" w:eastAsia="楷体" w:cs="楷体"/>
          <w:lang w:eastAsia="zh-CN"/>
        </w:rPr>
      </w:pPr>
      <w:r>
        <w:rPr>
          <w:rFonts w:hint="eastAsia" w:ascii="楷体" w:hAnsi="楷体" w:eastAsia="楷体" w:cs="楷体"/>
          <w:lang w:eastAsia="zh-CN"/>
        </w:rPr>
        <w:t>单光模块需用到5-8颗光芯片（具体数量取决于单/双通道、芯片类型为EML还是CW），3英寸衬底可产出的可用光芯片数量远低于理论值，最终EML约500-600颗/片，CW约700颗/片，可结合光模块出货量推算衬底需求量。</w:t>
      </w:r>
    </w:p>
    <w:p w14:paraId="40E31604">
      <w:pPr>
        <w:pStyle w:val="24"/>
        <w:numPr>
          <w:ilvl w:val="0"/>
          <w:numId w:val="1"/>
        </w:numPr>
        <w:rPr>
          <w:rFonts w:ascii="楷体" w:hAnsi="楷体" w:eastAsia="楷体" w:cs="楷体"/>
        </w:rPr>
      </w:pPr>
      <w:r>
        <w:rPr>
          <w:rFonts w:hint="eastAsia" w:ascii="楷体" w:hAnsi="楷体" w:eastAsia="楷体" w:cs="楷体"/>
        </w:rPr>
        <w:t>分厂商2026年需求情况：</w:t>
      </w:r>
    </w:p>
    <w:p w14:paraId="658C89DC">
      <w:pPr>
        <w:pStyle w:val="24"/>
        <w:numPr>
          <w:ilvl w:val="1"/>
          <w:numId w:val="1"/>
        </w:numPr>
        <w:rPr>
          <w:rFonts w:ascii="楷体" w:hAnsi="楷体" w:eastAsia="楷体" w:cs="楷体"/>
          <w:lang w:eastAsia="zh-CN"/>
        </w:rPr>
      </w:pPr>
      <w:r>
        <w:rPr>
          <w:rFonts w:hint="eastAsia" w:ascii="楷体" w:hAnsi="楷体" w:eastAsia="楷体" w:cs="楷体"/>
          <w:lang w:eastAsia="zh-CN"/>
        </w:rPr>
        <w:t>国内厂商：源杰需求约十多万片，华星需求8-10万片，全磊需求5-6万片；可按“光模块出货量×单模块芯片数÷单片衬底可产出芯片数”测算索尔思等其他厂商需求。</w:t>
      </w:r>
    </w:p>
    <w:p w14:paraId="61515DB4">
      <w:pPr>
        <w:pStyle w:val="24"/>
        <w:numPr>
          <w:ilvl w:val="1"/>
          <w:numId w:val="1"/>
        </w:numPr>
        <w:rPr>
          <w:rFonts w:ascii="楷体" w:hAnsi="楷体" w:eastAsia="楷体" w:cs="楷体"/>
        </w:rPr>
      </w:pPr>
      <w:r>
        <w:rPr>
          <w:rFonts w:hint="eastAsia" w:ascii="楷体" w:hAnsi="楷体" w:eastAsia="楷体" w:cs="楷体"/>
        </w:rPr>
        <w:t>海外厂商：需求处于爆发阶段，AOI 2029年需求预计达100万片，Lumentum和Coherent的需求比AOI更高。</w:t>
      </w:r>
    </w:p>
    <w:p w14:paraId="2E707861">
      <w:pPr>
        <w:pStyle w:val="24"/>
        <w:numPr>
          <w:ilvl w:val="0"/>
          <w:numId w:val="1"/>
        </w:numPr>
        <w:rPr>
          <w:rFonts w:ascii="楷体" w:hAnsi="楷体" w:eastAsia="楷体" w:cs="楷体"/>
          <w:lang w:eastAsia="zh-CN"/>
        </w:rPr>
      </w:pPr>
      <w:r>
        <w:rPr>
          <w:rFonts w:hint="eastAsia" w:ascii="楷体" w:hAnsi="楷体" w:eastAsia="楷体" w:cs="楷体"/>
          <w:lang w:eastAsia="zh-CN"/>
        </w:rPr>
        <w:t>新兴技术对需求的拉动：NPO、CPO技术演进将进一步扩大磷化铟衬底需求，同时对衬底功率要求提升，高功率掺铁衬底需求将增长。</w:t>
      </w:r>
    </w:p>
    <w:p w14:paraId="0791AB7F">
      <w:pPr>
        <w:pStyle w:val="4"/>
        <w:rPr>
          <w:rFonts w:ascii="楷体" w:hAnsi="楷体" w:eastAsia="楷体" w:cs="楷体"/>
          <w:lang w:eastAsia="zh-CN"/>
        </w:rPr>
      </w:pPr>
      <w:r>
        <w:rPr>
          <w:rFonts w:hint="eastAsia" w:ascii="楷体" w:hAnsi="楷体" w:eastAsia="楷体" w:cs="楷体"/>
          <w:lang w:eastAsia="zh-CN"/>
        </w:rPr>
        <w:t>2. 磷化铟衬底供给与供需格局</w:t>
      </w:r>
    </w:p>
    <w:p w14:paraId="5BD6B484">
      <w:pPr>
        <w:pStyle w:val="24"/>
        <w:numPr>
          <w:ilvl w:val="0"/>
          <w:numId w:val="1"/>
        </w:numPr>
        <w:rPr>
          <w:rFonts w:ascii="楷体" w:hAnsi="楷体" w:eastAsia="楷体" w:cs="楷体"/>
        </w:rPr>
      </w:pPr>
      <w:r>
        <w:rPr>
          <w:rFonts w:hint="eastAsia" w:ascii="楷体" w:hAnsi="楷体" w:eastAsia="楷体" w:cs="楷体"/>
        </w:rPr>
        <w:t>供需缺口情况：</w:t>
      </w:r>
    </w:p>
    <w:p w14:paraId="4F284269">
      <w:pPr>
        <w:pStyle w:val="24"/>
        <w:numPr>
          <w:ilvl w:val="1"/>
          <w:numId w:val="1"/>
        </w:numPr>
        <w:rPr>
          <w:rFonts w:ascii="楷体" w:hAnsi="楷体" w:eastAsia="楷体" w:cs="楷体"/>
          <w:lang w:eastAsia="zh-CN"/>
        </w:rPr>
      </w:pPr>
      <w:r>
        <w:rPr>
          <w:rFonts w:hint="eastAsia" w:ascii="楷体" w:hAnsi="楷体" w:eastAsia="楷体" w:cs="楷体"/>
          <w:lang w:eastAsia="zh-CN"/>
        </w:rPr>
        <w:t>2027年总供给预计不足200万片（约一百大几十万片），对应250-280万片的需求，存在明显供需缺口。</w:t>
      </w:r>
    </w:p>
    <w:p w14:paraId="597B252C">
      <w:pPr>
        <w:pStyle w:val="24"/>
        <w:numPr>
          <w:ilvl w:val="1"/>
          <w:numId w:val="1"/>
        </w:numPr>
        <w:rPr>
          <w:rFonts w:ascii="楷体" w:hAnsi="楷体" w:eastAsia="楷体" w:cs="楷体"/>
          <w:lang w:eastAsia="zh-CN"/>
        </w:rPr>
      </w:pPr>
      <w:r>
        <w:rPr>
          <w:rFonts w:hint="eastAsia" w:ascii="楷体" w:hAnsi="楷体" w:eastAsia="楷体" w:cs="楷体"/>
          <w:lang w:eastAsia="zh-CN"/>
        </w:rPr>
        <w:t>扩产进度慢于需求增速，缺口将持续上升：扩产涉及炉子调试、良率爬坡、产业工人培训等环节，扩产速度只会慢于预期，跟不上快速放大的需求量。</w:t>
      </w:r>
    </w:p>
    <w:p w14:paraId="2217044B">
      <w:pPr>
        <w:pStyle w:val="24"/>
        <w:numPr>
          <w:ilvl w:val="0"/>
          <w:numId w:val="1"/>
        </w:numPr>
        <w:rPr>
          <w:rFonts w:ascii="楷体" w:hAnsi="楷体" w:eastAsia="楷体" w:cs="楷体"/>
          <w:lang w:eastAsia="zh-CN"/>
        </w:rPr>
      </w:pPr>
      <w:r>
        <w:rPr>
          <w:rFonts w:hint="eastAsia" w:ascii="楷体" w:hAnsi="楷体" w:eastAsia="楷体" w:cs="楷体"/>
          <w:lang w:eastAsia="zh-CN"/>
        </w:rPr>
        <w:t>主要供给厂商及扩产情况：</w:t>
      </w:r>
    </w:p>
    <w:p w14:paraId="14477C98">
      <w:pPr>
        <w:pStyle w:val="24"/>
        <w:numPr>
          <w:ilvl w:val="1"/>
          <w:numId w:val="1"/>
        </w:numPr>
        <w:rPr>
          <w:rFonts w:ascii="楷体" w:hAnsi="楷体" w:eastAsia="楷体" w:cs="楷体"/>
          <w:lang w:eastAsia="zh-CN"/>
        </w:rPr>
      </w:pPr>
      <w:r>
        <w:rPr>
          <w:rFonts w:hint="eastAsia" w:ascii="楷体" w:hAnsi="楷体" w:eastAsia="楷体" w:cs="楷体"/>
          <w:lang w:eastAsia="zh-CN"/>
        </w:rPr>
        <w:t>海外厂商：通美为行业龙头，技术实力领先；住友、JX等海外厂商也有扩产计划，但扩产速度慢于国内厂商。</w:t>
      </w:r>
    </w:p>
    <w:p w14:paraId="7104DDCC">
      <w:pPr>
        <w:pStyle w:val="24"/>
        <w:numPr>
          <w:ilvl w:val="1"/>
          <w:numId w:val="1"/>
        </w:numPr>
        <w:rPr>
          <w:rFonts w:ascii="楷体" w:hAnsi="楷体" w:eastAsia="楷体" w:cs="楷体"/>
        </w:rPr>
      </w:pPr>
      <w:r>
        <w:rPr>
          <w:rFonts w:hint="eastAsia" w:ascii="楷体" w:hAnsi="楷体" w:eastAsia="楷体" w:cs="楷体"/>
        </w:rPr>
        <w:t>国内厂商：</w:t>
      </w:r>
    </w:p>
    <w:p w14:paraId="3B5F8D9D">
      <w:pPr>
        <w:pStyle w:val="24"/>
        <w:numPr>
          <w:ilvl w:val="2"/>
          <w:numId w:val="1"/>
        </w:numPr>
        <w:rPr>
          <w:rFonts w:ascii="楷体" w:hAnsi="楷体" w:eastAsia="楷体" w:cs="楷体"/>
          <w:lang w:eastAsia="zh-CN"/>
        </w:rPr>
      </w:pPr>
      <w:r>
        <w:rPr>
          <w:rFonts w:hint="eastAsia" w:ascii="楷体" w:hAnsi="楷体" w:eastAsia="楷体" w:cs="楷体"/>
          <w:lang w:eastAsia="zh-CN"/>
        </w:rPr>
        <w:t>云锗：2026年出货量领先于其他国内厂商，2027年规划扩产至25万片，但存在团队变动的潜在风险。</w:t>
      </w:r>
    </w:p>
    <w:p w14:paraId="0437E0E2">
      <w:pPr>
        <w:pStyle w:val="24"/>
        <w:numPr>
          <w:ilvl w:val="2"/>
          <w:numId w:val="1"/>
        </w:numPr>
        <w:rPr>
          <w:rFonts w:ascii="楷体" w:hAnsi="楷体" w:eastAsia="楷体" w:cs="楷体"/>
          <w:lang w:eastAsia="zh-CN"/>
        </w:rPr>
      </w:pPr>
      <w:r>
        <w:rPr>
          <w:rFonts w:hint="eastAsia" w:ascii="楷体" w:hAnsi="楷体" w:eastAsia="楷体" w:cs="楷体"/>
          <w:lang w:eastAsia="zh-CN"/>
        </w:rPr>
        <w:t>先导：2027年规划扩产至25万片，扩产进度较好。</w:t>
      </w:r>
    </w:p>
    <w:p w14:paraId="79436E6C">
      <w:pPr>
        <w:pStyle w:val="24"/>
        <w:numPr>
          <w:ilvl w:val="2"/>
          <w:numId w:val="1"/>
        </w:numPr>
        <w:rPr>
          <w:rFonts w:ascii="楷体" w:hAnsi="楷体" w:eastAsia="楷体" w:cs="楷体"/>
          <w:lang w:eastAsia="zh-CN"/>
        </w:rPr>
      </w:pPr>
      <w:r>
        <w:rPr>
          <w:rFonts w:hint="eastAsia" w:ascii="楷体" w:hAnsi="楷体" w:eastAsia="楷体" w:cs="楷体"/>
          <w:lang w:eastAsia="zh-CN"/>
        </w:rPr>
        <w:t>大庆溢泰：扩产速度为国内最快，原有砷化镓生产经验可复用，产业工人储备充足，且宣称可自主生产扩产所需的炉子，扩产效率高。</w:t>
      </w:r>
    </w:p>
    <w:p w14:paraId="1B791A1C">
      <w:pPr>
        <w:pStyle w:val="24"/>
        <w:numPr>
          <w:ilvl w:val="0"/>
          <w:numId w:val="1"/>
        </w:numPr>
        <w:rPr>
          <w:rFonts w:ascii="楷体" w:hAnsi="楷体" w:eastAsia="楷体" w:cs="楷体"/>
        </w:rPr>
      </w:pPr>
      <w:r>
        <w:rPr>
          <w:rFonts w:hint="eastAsia" w:ascii="楷体" w:hAnsi="楷体" w:eastAsia="楷体" w:cs="楷体"/>
        </w:rPr>
        <w:t>大尺寸衬底进展：</w:t>
      </w:r>
    </w:p>
    <w:p w14:paraId="0CB641DE">
      <w:pPr>
        <w:pStyle w:val="24"/>
        <w:numPr>
          <w:ilvl w:val="1"/>
          <w:numId w:val="1"/>
        </w:numPr>
        <w:rPr>
          <w:rFonts w:ascii="楷体" w:hAnsi="楷体" w:eastAsia="楷体" w:cs="楷体"/>
          <w:lang w:eastAsia="zh-CN"/>
        </w:rPr>
      </w:pPr>
      <w:r>
        <w:rPr>
          <w:rFonts w:hint="eastAsia" w:ascii="楷体" w:hAnsi="楷体" w:eastAsia="楷体" w:cs="楷体"/>
          <w:lang w:eastAsia="zh-CN"/>
        </w:rPr>
        <w:t>当前3英寸衬底是主流，产线适配度最高；转向4英寸需要对产线进行技改，当前行业供需紧张、厂商优先保障现有产能生产，暂无动力进行技改，2027年仍以3-4英寸衬底为主。</w:t>
      </w:r>
    </w:p>
    <w:p w14:paraId="7DCC9A37">
      <w:pPr>
        <w:pStyle w:val="24"/>
        <w:numPr>
          <w:ilvl w:val="1"/>
          <w:numId w:val="1"/>
        </w:numPr>
        <w:rPr>
          <w:rFonts w:ascii="楷体" w:hAnsi="楷体" w:eastAsia="楷体" w:cs="楷体"/>
          <w:lang w:eastAsia="zh-CN"/>
        </w:rPr>
      </w:pPr>
      <w:r>
        <w:rPr>
          <w:rFonts w:hint="eastAsia" w:ascii="楷体" w:hAnsi="楷体" w:eastAsia="楷体" w:cs="楷体"/>
          <w:lang w:eastAsia="zh-CN"/>
        </w:rPr>
        <w:t>6英寸衬底不仅需要技改，还需要更换生产炉子，落地进度更慢，短期不会规模化应用。</w:t>
      </w:r>
    </w:p>
    <w:p w14:paraId="4A4EA2A7">
      <w:pPr>
        <w:pStyle w:val="24"/>
        <w:numPr>
          <w:ilvl w:val="0"/>
          <w:numId w:val="1"/>
        </w:numPr>
        <w:rPr>
          <w:rFonts w:ascii="楷体" w:hAnsi="楷体" w:eastAsia="楷体" w:cs="楷体"/>
        </w:rPr>
      </w:pPr>
      <w:r>
        <w:rPr>
          <w:rFonts w:hint="eastAsia" w:ascii="楷体" w:hAnsi="楷体" w:eastAsia="楷体" w:cs="楷体"/>
        </w:rPr>
        <w:t>扩产瓶颈：</w:t>
      </w:r>
    </w:p>
    <w:p w14:paraId="4167EC57">
      <w:pPr>
        <w:pStyle w:val="24"/>
        <w:numPr>
          <w:ilvl w:val="1"/>
          <w:numId w:val="1"/>
        </w:numPr>
        <w:rPr>
          <w:rFonts w:ascii="楷体" w:hAnsi="楷体" w:eastAsia="楷体" w:cs="楷体"/>
          <w:lang w:eastAsia="zh-CN"/>
        </w:rPr>
      </w:pPr>
      <w:r>
        <w:rPr>
          <w:rFonts w:hint="eastAsia" w:ascii="楷体" w:hAnsi="楷体" w:eastAsia="楷体" w:cs="楷体"/>
          <w:lang w:eastAsia="zh-CN"/>
        </w:rPr>
        <w:t>核心瓶颈包括海外高端生产设备供应紧张（当前已被订满）、良率提升难度大、产业工人培训周期长。</w:t>
      </w:r>
    </w:p>
    <w:p w14:paraId="707F7F88">
      <w:pPr>
        <w:pStyle w:val="24"/>
        <w:numPr>
          <w:ilvl w:val="1"/>
          <w:numId w:val="1"/>
        </w:numPr>
        <w:rPr>
          <w:rFonts w:ascii="楷体" w:hAnsi="楷体" w:eastAsia="楷体" w:cs="楷体"/>
          <w:lang w:eastAsia="zh-CN"/>
        </w:rPr>
      </w:pPr>
      <w:r>
        <w:rPr>
          <w:rFonts w:hint="eastAsia" w:ascii="楷体" w:hAnsi="楷体" w:eastAsia="楷体" w:cs="楷体"/>
          <w:lang w:eastAsia="zh-CN"/>
        </w:rPr>
        <w:t>衬底厂商的核心竞争力为良率控制能力，除长晶炉子外，切磨抛等后道加工工艺也会拉开厂商间的成本和良率差距。</w:t>
      </w:r>
    </w:p>
    <w:p w14:paraId="513A6ADB">
      <w:pPr>
        <w:pStyle w:val="4"/>
        <w:rPr>
          <w:rFonts w:ascii="楷体" w:hAnsi="楷体" w:eastAsia="楷体" w:cs="楷体"/>
        </w:rPr>
      </w:pPr>
      <w:r>
        <w:rPr>
          <w:rFonts w:hint="eastAsia" w:ascii="楷体" w:hAnsi="楷体" w:eastAsia="楷体" w:cs="楷体"/>
        </w:rPr>
        <w:t>3. 磷化铟衬底价格趋势</w:t>
      </w:r>
    </w:p>
    <w:p w14:paraId="08153733">
      <w:pPr>
        <w:pStyle w:val="24"/>
        <w:numPr>
          <w:ilvl w:val="0"/>
          <w:numId w:val="1"/>
        </w:numPr>
        <w:rPr>
          <w:rFonts w:ascii="楷体" w:hAnsi="楷体" w:eastAsia="楷体" w:cs="楷体"/>
          <w:lang w:eastAsia="zh-CN"/>
        </w:rPr>
      </w:pPr>
      <w:r>
        <w:rPr>
          <w:rFonts w:hint="eastAsia" w:ascii="楷体" w:hAnsi="楷体" w:eastAsia="楷体" w:cs="楷体"/>
          <w:lang w:eastAsia="zh-CN"/>
        </w:rPr>
        <w:t>2026年价格走势：上半年通美有小幅提价，因2025年旧库存消耗，供应相对平稳；2026年三季度起缺货逐步显现，通美当前报价已达4500元/片，预计2026年还有1-2次涨价，全年价格有望涨至5000元以上。</w:t>
      </w:r>
    </w:p>
    <w:p w14:paraId="60CA2EE7">
      <w:pPr>
        <w:pStyle w:val="24"/>
        <w:numPr>
          <w:ilvl w:val="0"/>
          <w:numId w:val="1"/>
        </w:numPr>
        <w:rPr>
          <w:rFonts w:ascii="楷体" w:hAnsi="楷体" w:eastAsia="楷体" w:cs="楷体"/>
        </w:rPr>
      </w:pPr>
      <w:r>
        <w:rPr>
          <w:rFonts w:hint="eastAsia" w:ascii="楷体" w:hAnsi="楷体" w:eastAsia="楷体" w:cs="楷体"/>
        </w:rPr>
        <w:t>涨价支撑逻辑：</w:t>
      </w:r>
    </w:p>
    <w:p w14:paraId="458634E0">
      <w:pPr>
        <w:pStyle w:val="24"/>
        <w:numPr>
          <w:ilvl w:val="1"/>
          <w:numId w:val="1"/>
        </w:numPr>
        <w:rPr>
          <w:rFonts w:ascii="楷体" w:hAnsi="楷体" w:eastAsia="楷体" w:cs="楷体"/>
          <w:lang w:eastAsia="zh-CN"/>
        </w:rPr>
      </w:pPr>
      <w:r>
        <w:rPr>
          <w:rFonts w:hint="eastAsia" w:ascii="楷体" w:hAnsi="楷体" w:eastAsia="楷体" w:cs="楷体"/>
          <w:lang w:eastAsia="zh-CN"/>
        </w:rPr>
        <w:t>衬底成本在最终光模块中的占比较低，下游对涨价的接受度较高。</w:t>
      </w:r>
    </w:p>
    <w:p w14:paraId="1F9E1E3F">
      <w:pPr>
        <w:pStyle w:val="24"/>
        <w:numPr>
          <w:ilvl w:val="1"/>
          <w:numId w:val="1"/>
        </w:numPr>
        <w:rPr>
          <w:rFonts w:ascii="楷体" w:hAnsi="楷体" w:eastAsia="楷体" w:cs="楷体"/>
          <w:lang w:eastAsia="zh-CN"/>
        </w:rPr>
      </w:pPr>
      <w:r>
        <w:rPr>
          <w:rFonts w:hint="eastAsia" w:ascii="楷体" w:hAnsi="楷体" w:eastAsia="楷体" w:cs="楷体"/>
          <w:lang w:eastAsia="zh-CN"/>
        </w:rPr>
        <w:t>下游客户已开始主动锁单保障供应，进一步推涨涨价预期；当前锁单以锁量为主，锁价难度较大，上游铟、6N红磷原材料价格上涨也对价格形成支撑。</w:t>
      </w:r>
    </w:p>
    <w:p w14:paraId="1AE137E0">
      <w:pPr>
        <w:pStyle w:val="24"/>
        <w:numPr>
          <w:ilvl w:val="0"/>
          <w:numId w:val="1"/>
        </w:numPr>
        <w:rPr>
          <w:rFonts w:ascii="楷体" w:hAnsi="楷体" w:eastAsia="楷体" w:cs="楷体"/>
          <w:lang w:eastAsia="zh-CN"/>
        </w:rPr>
      </w:pPr>
      <w:r>
        <w:rPr>
          <w:rFonts w:hint="eastAsia" w:ascii="楷体" w:hAnsi="楷体" w:eastAsia="楷体" w:cs="楷体"/>
          <w:lang w:eastAsia="zh-CN"/>
        </w:rPr>
        <w:t>相关厂商盈利预期：通美2027年利润预计达2.5-3亿美金。</w:t>
      </w:r>
    </w:p>
    <w:p w14:paraId="7148765C">
      <w:pPr>
        <w:pStyle w:val="4"/>
        <w:rPr>
          <w:rFonts w:ascii="楷体" w:hAnsi="楷体" w:eastAsia="楷体" w:cs="楷体"/>
          <w:lang w:eastAsia="zh-CN"/>
        </w:rPr>
      </w:pPr>
      <w:r>
        <w:rPr>
          <w:rFonts w:hint="eastAsia" w:ascii="楷体" w:hAnsi="楷体" w:eastAsia="楷体" w:cs="楷体"/>
          <w:lang w:eastAsia="zh-CN"/>
        </w:rPr>
        <w:t>4. 磷化铟产业链生产环节与良率情况</w:t>
      </w:r>
    </w:p>
    <w:p w14:paraId="523F87B0">
      <w:pPr>
        <w:pStyle w:val="24"/>
        <w:numPr>
          <w:ilvl w:val="0"/>
          <w:numId w:val="1"/>
        </w:numPr>
        <w:rPr>
          <w:rFonts w:ascii="楷体" w:hAnsi="楷体" w:eastAsia="楷体" w:cs="楷体"/>
          <w:lang w:eastAsia="zh-CN"/>
        </w:rPr>
      </w:pPr>
      <w:r>
        <w:rPr>
          <w:rFonts w:hint="eastAsia" w:ascii="楷体" w:hAnsi="楷体" w:eastAsia="楷体" w:cs="楷体"/>
          <w:lang w:eastAsia="zh-CN"/>
        </w:rPr>
        <w:t>核心生产工序：衬底→外延（20层左右，包含缓冲层、波导层、有源区、掺杂层、光栅层）→光刻刻蚀→划片→测试→封装耦合→光模块组装。</w:t>
      </w:r>
    </w:p>
    <w:p w14:paraId="773092A1">
      <w:pPr>
        <w:pStyle w:val="24"/>
        <w:numPr>
          <w:ilvl w:val="0"/>
          <w:numId w:val="1"/>
        </w:numPr>
        <w:rPr>
          <w:rFonts w:ascii="楷体" w:hAnsi="楷体" w:eastAsia="楷体" w:cs="楷体"/>
        </w:rPr>
      </w:pPr>
      <w:r>
        <w:rPr>
          <w:rFonts w:hint="eastAsia" w:ascii="楷体" w:hAnsi="楷体" w:eastAsia="楷体" w:cs="楷体"/>
        </w:rPr>
        <w:t>各环节良率情况：</w:t>
      </w:r>
    </w:p>
    <w:p w14:paraId="212B90CA">
      <w:pPr>
        <w:pStyle w:val="24"/>
        <w:numPr>
          <w:ilvl w:val="1"/>
          <w:numId w:val="1"/>
        </w:numPr>
        <w:rPr>
          <w:rFonts w:ascii="楷体" w:hAnsi="楷体" w:eastAsia="楷体" w:cs="楷体"/>
          <w:lang w:eastAsia="zh-CN"/>
        </w:rPr>
      </w:pPr>
      <w:r>
        <w:rPr>
          <w:rFonts w:hint="eastAsia" w:ascii="楷体" w:hAnsi="楷体" w:eastAsia="楷体" w:cs="楷体"/>
          <w:lang w:eastAsia="zh-CN"/>
        </w:rPr>
        <w:t>外延环节：层数多、工艺复杂，磷化铟衬底质地较脆，每一层生长都可能产生微裂纹，是良率最低的环节；单步良率约50%-60%，多层累积后良率显著降低。</w:t>
      </w:r>
    </w:p>
    <w:p w14:paraId="146860D1">
      <w:pPr>
        <w:pStyle w:val="24"/>
        <w:numPr>
          <w:ilvl w:val="1"/>
          <w:numId w:val="1"/>
        </w:numPr>
        <w:rPr>
          <w:rFonts w:ascii="楷体" w:hAnsi="楷体" w:eastAsia="楷体" w:cs="楷体"/>
          <w:lang w:eastAsia="zh-CN"/>
        </w:rPr>
      </w:pPr>
      <w:r>
        <w:rPr>
          <w:rFonts w:hint="eastAsia" w:ascii="楷体" w:hAnsi="楷体" w:eastAsia="楷体" w:cs="楷体"/>
          <w:lang w:eastAsia="zh-CN"/>
        </w:rPr>
        <w:t>晶圆制造、封装测试环节：良率约70%-80%。</w:t>
      </w:r>
    </w:p>
    <w:p w14:paraId="08499F0A">
      <w:pPr>
        <w:pStyle w:val="24"/>
        <w:numPr>
          <w:ilvl w:val="1"/>
          <w:numId w:val="1"/>
        </w:numPr>
        <w:rPr>
          <w:rFonts w:ascii="楷体" w:hAnsi="楷体" w:eastAsia="楷体" w:cs="楷体"/>
          <w:lang w:eastAsia="zh-CN"/>
        </w:rPr>
      </w:pPr>
      <w:r>
        <w:rPr>
          <w:rFonts w:hint="eastAsia" w:ascii="楷体" w:hAnsi="楷体" w:eastAsia="楷体" w:cs="楷体"/>
          <w:lang w:eastAsia="zh-CN"/>
        </w:rPr>
        <w:t>划片环节：因磷化铟脆性易产生微裂纹，良率差异较大，做得好的约50%-60%，做得差的仅30%-40%。</w:t>
      </w:r>
    </w:p>
    <w:p w14:paraId="45F08D4C">
      <w:pPr>
        <w:pStyle w:val="24"/>
        <w:numPr>
          <w:ilvl w:val="0"/>
          <w:numId w:val="1"/>
        </w:numPr>
        <w:rPr>
          <w:rFonts w:ascii="楷体" w:hAnsi="楷体" w:eastAsia="楷体" w:cs="楷体"/>
          <w:lang w:eastAsia="zh-CN"/>
        </w:rPr>
      </w:pPr>
      <w:r>
        <w:rPr>
          <w:rFonts w:hint="eastAsia" w:ascii="楷体" w:hAnsi="楷体" w:eastAsia="楷体" w:cs="楷体"/>
          <w:lang w:eastAsia="zh-CN"/>
        </w:rPr>
        <w:t>工艺演进对良率的影响：</w:t>
      </w:r>
    </w:p>
    <w:p w14:paraId="383693DD">
      <w:pPr>
        <w:pStyle w:val="24"/>
        <w:numPr>
          <w:ilvl w:val="1"/>
          <w:numId w:val="1"/>
        </w:numPr>
        <w:rPr>
          <w:rFonts w:ascii="楷体" w:hAnsi="楷体" w:eastAsia="楷体" w:cs="楷体"/>
          <w:lang w:eastAsia="zh-CN"/>
        </w:rPr>
      </w:pPr>
      <w:r>
        <w:rPr>
          <w:rFonts w:hint="eastAsia" w:ascii="楷体" w:hAnsi="楷体" w:eastAsia="楷体" w:cs="楷体"/>
          <w:lang w:eastAsia="zh-CN"/>
        </w:rPr>
        <w:t>高功率激光器需要采用掺铁掺杂工艺，掺铁工艺的良率显著低于无掺杂、掺硫工艺，随着激光器功率提升，整体良率会进一步下降。</w:t>
      </w:r>
    </w:p>
    <w:p w14:paraId="5F351DA2">
      <w:pPr>
        <w:pStyle w:val="24"/>
        <w:numPr>
          <w:ilvl w:val="0"/>
          <w:numId w:val="1"/>
        </w:numPr>
        <w:rPr>
          <w:rFonts w:ascii="楷体" w:hAnsi="楷体" w:eastAsia="楷体" w:cs="楷体"/>
          <w:lang w:eastAsia="zh-CN"/>
        </w:rPr>
      </w:pPr>
      <w:r>
        <w:rPr>
          <w:rFonts w:hint="eastAsia" w:ascii="楷体" w:hAnsi="楷体" w:eastAsia="楷体" w:cs="楷体"/>
          <w:lang w:eastAsia="zh-CN"/>
        </w:rPr>
        <w:t>良率差异影响：当前主流衬底厂商对外供应的衬底均为经过测试的良品，良率差异主要体现在下游加工环节，最终导致单片衬底的可用芯片产出存在差距。</w:t>
      </w:r>
    </w:p>
    <w:p w14:paraId="1435E3E4">
      <w:pPr>
        <w:pStyle w:val="4"/>
        <w:rPr>
          <w:rFonts w:ascii="楷体" w:hAnsi="楷体" w:eastAsia="楷体" w:cs="楷体"/>
          <w:lang w:eastAsia="zh-CN"/>
        </w:rPr>
      </w:pPr>
      <w:r>
        <w:rPr>
          <w:rFonts w:hint="eastAsia" w:ascii="楷体" w:hAnsi="楷体" w:eastAsia="楷体" w:cs="楷体"/>
          <w:lang w:eastAsia="zh-CN"/>
        </w:rPr>
        <w:t>5. 行业竞争格局与认证、出口情况</w:t>
      </w:r>
    </w:p>
    <w:p w14:paraId="62681BAE">
      <w:pPr>
        <w:pStyle w:val="24"/>
        <w:numPr>
          <w:ilvl w:val="0"/>
          <w:numId w:val="1"/>
        </w:numPr>
        <w:rPr>
          <w:rFonts w:ascii="楷体" w:hAnsi="楷体" w:eastAsia="楷体" w:cs="楷体"/>
        </w:rPr>
      </w:pPr>
      <w:r>
        <w:rPr>
          <w:rFonts w:hint="eastAsia" w:ascii="楷体" w:hAnsi="楷体" w:eastAsia="楷体" w:cs="楷体"/>
        </w:rPr>
        <w:t>竞争格局展望：</w:t>
      </w:r>
    </w:p>
    <w:p w14:paraId="38BDCC9F">
      <w:pPr>
        <w:pStyle w:val="24"/>
        <w:numPr>
          <w:ilvl w:val="1"/>
          <w:numId w:val="1"/>
        </w:numPr>
        <w:rPr>
          <w:rFonts w:ascii="楷体" w:hAnsi="楷体" w:eastAsia="楷体" w:cs="楷体"/>
          <w:lang w:eastAsia="zh-CN"/>
        </w:rPr>
      </w:pPr>
      <w:r>
        <w:rPr>
          <w:rFonts w:hint="eastAsia" w:ascii="楷体" w:hAnsi="楷体" w:eastAsia="楷体" w:cs="楷体"/>
          <w:lang w:eastAsia="zh-CN"/>
        </w:rPr>
        <w:t>短期通美仍为全球龙头，技术优势显著；国内厂商中大庆溢泰、先导扩产进度领先，竞争优势较强，云锗受团队变动影响存在不确定性。</w:t>
      </w:r>
    </w:p>
    <w:p w14:paraId="44EBF15B">
      <w:pPr>
        <w:pStyle w:val="24"/>
        <w:numPr>
          <w:ilvl w:val="1"/>
          <w:numId w:val="1"/>
        </w:numPr>
        <w:rPr>
          <w:rFonts w:ascii="楷体" w:hAnsi="楷体" w:eastAsia="楷体" w:cs="楷体"/>
          <w:lang w:eastAsia="zh-CN"/>
        </w:rPr>
      </w:pPr>
      <w:r>
        <w:rPr>
          <w:rFonts w:hint="eastAsia" w:ascii="楷体" w:hAnsi="楷体" w:eastAsia="楷体" w:cs="楷体"/>
          <w:lang w:eastAsia="zh-CN"/>
        </w:rPr>
        <w:t>国内厂商只要能将衬底品质做到接近通美水平，叠加海外需求缺口较大，将具备广阔的市场空间。</w:t>
      </w:r>
    </w:p>
    <w:p w14:paraId="0A1D4505">
      <w:pPr>
        <w:pStyle w:val="24"/>
        <w:numPr>
          <w:ilvl w:val="0"/>
          <w:numId w:val="1"/>
        </w:numPr>
        <w:rPr>
          <w:rFonts w:ascii="楷体" w:hAnsi="楷体" w:eastAsia="楷体" w:cs="楷体"/>
        </w:rPr>
      </w:pPr>
      <w:r>
        <w:rPr>
          <w:rFonts w:hint="eastAsia" w:ascii="楷体" w:hAnsi="楷体" w:eastAsia="楷体" w:cs="楷体"/>
        </w:rPr>
        <w:t>供应商认证：</w:t>
      </w:r>
    </w:p>
    <w:p w14:paraId="1CDBDA35">
      <w:pPr>
        <w:pStyle w:val="24"/>
        <w:numPr>
          <w:ilvl w:val="1"/>
          <w:numId w:val="1"/>
        </w:numPr>
        <w:rPr>
          <w:rFonts w:ascii="楷体" w:hAnsi="楷体" w:eastAsia="楷体" w:cs="楷体"/>
          <w:lang w:eastAsia="zh-CN"/>
        </w:rPr>
      </w:pPr>
      <w:r>
        <w:rPr>
          <w:rFonts w:hint="eastAsia" w:ascii="楷体" w:hAnsi="楷体" w:eastAsia="楷体" w:cs="楷体"/>
          <w:lang w:eastAsia="zh-CN"/>
        </w:rPr>
        <w:t>常规认证周期约1年；当前供需紧张下，对具备扩产能力的供应商认证周期将加速，有望缩短至半年以内，无扩产能力的供应商认证进度将放缓。</w:t>
      </w:r>
    </w:p>
    <w:p w14:paraId="59DE2C4C">
      <w:pPr>
        <w:pStyle w:val="24"/>
        <w:numPr>
          <w:ilvl w:val="0"/>
          <w:numId w:val="1"/>
        </w:numPr>
        <w:rPr>
          <w:rFonts w:ascii="楷体" w:hAnsi="楷体" w:eastAsia="楷体" w:cs="楷体"/>
        </w:rPr>
      </w:pPr>
      <w:r>
        <w:rPr>
          <w:rFonts w:hint="eastAsia" w:ascii="楷体" w:hAnsi="楷体" w:eastAsia="楷体" w:cs="楷体"/>
        </w:rPr>
        <w:t>出口相关情况：</w:t>
      </w:r>
    </w:p>
    <w:p w14:paraId="08FF8B83">
      <w:pPr>
        <w:pStyle w:val="24"/>
        <w:numPr>
          <w:ilvl w:val="1"/>
          <w:numId w:val="1"/>
        </w:numPr>
        <w:rPr>
          <w:rFonts w:ascii="楷体" w:hAnsi="楷体" w:eastAsia="楷体" w:cs="楷体"/>
          <w:lang w:eastAsia="zh-CN"/>
        </w:rPr>
      </w:pPr>
      <w:r>
        <w:rPr>
          <w:rFonts w:hint="eastAsia" w:ascii="楷体" w:hAnsi="楷体" w:eastAsia="楷体" w:cs="楷体"/>
          <w:lang w:eastAsia="zh-CN"/>
        </w:rPr>
        <w:t>出口需要获得商务部相关许可，政策层面的不确定性较大，厂商需各自解决出口资质问题，具备出口能力的厂商将受益于海外高需求和更高的产品价格。</w:t>
      </w:r>
    </w:p>
    <w:p w14:paraId="65185E30">
      <w:pPr>
        <w:pStyle w:val="24"/>
        <w:numPr>
          <w:ilvl w:val="1"/>
          <w:numId w:val="1"/>
        </w:numPr>
        <w:rPr>
          <w:rFonts w:ascii="楷体" w:hAnsi="楷体" w:eastAsia="楷体" w:cs="楷体"/>
          <w:lang w:eastAsia="zh-CN"/>
        </w:rPr>
      </w:pPr>
      <w:r>
        <w:rPr>
          <w:rFonts w:hint="eastAsia" w:ascii="楷体" w:hAnsi="楷体" w:eastAsia="楷体" w:cs="楷体"/>
          <w:lang w:eastAsia="zh-CN"/>
        </w:rPr>
        <w:t>厂商当前优先推进国内扩产，预计2027-2028年才会有厂商考虑海外建厂，当前暂未看到相关规划。</w:t>
      </w:r>
    </w:p>
    <w:p w14:paraId="61669D56">
      <w:pPr>
        <w:pStyle w:val="24"/>
        <w:numPr>
          <w:ilvl w:val="0"/>
          <w:numId w:val="1"/>
        </w:numPr>
        <w:rPr>
          <w:rFonts w:ascii="楷体" w:hAnsi="楷体" w:eastAsia="楷体" w:cs="楷体"/>
          <w:lang w:eastAsia="zh-CN"/>
        </w:rPr>
      </w:pPr>
      <w:r>
        <w:rPr>
          <w:rFonts w:hint="eastAsia" w:ascii="楷体" w:hAnsi="楷体" w:eastAsia="楷体" w:cs="楷体"/>
          <w:lang w:eastAsia="zh-CN"/>
        </w:rPr>
        <w:t>产业链分工趋势：衬底厂商暂无向上游延伸做外延的趋势，核心目标为提升自身衬底生产良率。</w:t>
      </w:r>
    </w:p>
    <w:p w14:paraId="0C454A98">
      <w:pPr>
        <w:pStyle w:val="2"/>
        <w:rPr>
          <w:rFonts w:ascii="楷体" w:hAnsi="楷体" w:eastAsia="楷体" w:cs="楷体"/>
          <w:lang w:eastAsia="zh-CN"/>
        </w:rPr>
      </w:pPr>
      <w:r>
        <w:rPr>
          <w:rFonts w:hint="eastAsia" w:ascii="楷体" w:hAnsi="楷体" w:eastAsia="楷体" w:cs="楷体"/>
          <w:lang w:eastAsia="zh-CN"/>
        </w:rPr>
        <w:t>Q&amp;A</w:t>
      </w:r>
    </w:p>
    <w:p w14:paraId="0FDBB107">
      <w:pPr>
        <w:pStyle w:val="23"/>
        <w:rPr>
          <w:rFonts w:ascii="楷体" w:hAnsi="楷体" w:eastAsia="楷体" w:cs="楷体"/>
          <w:lang w:eastAsia="zh-CN"/>
        </w:rPr>
      </w:pPr>
      <w:r>
        <w:rPr>
          <w:rFonts w:hint="eastAsia" w:ascii="楷体" w:hAnsi="楷体" w:eastAsia="楷体" w:cs="楷体"/>
          <w:b/>
          <w:bCs/>
          <w:lang w:eastAsia="zh-CN"/>
        </w:rPr>
        <w:t>Q： 磷化铟衬底当前的下游使用场景有哪些？各场景的需求规模及增速情况如何？</w:t>
      </w:r>
    </w:p>
    <w:p w14:paraId="1E301A53">
      <w:pPr>
        <w:pStyle w:val="3"/>
        <w:rPr>
          <w:rFonts w:ascii="楷体" w:hAnsi="楷体" w:eastAsia="楷体" w:cs="楷体"/>
          <w:lang w:eastAsia="zh-CN"/>
        </w:rPr>
      </w:pPr>
      <w:r>
        <w:rPr>
          <w:rFonts w:hint="eastAsia" w:ascii="楷体" w:hAnsi="楷体" w:eastAsia="楷体" w:cs="楷体"/>
          <w:lang w:eastAsia="zh-CN"/>
        </w:rPr>
        <w:t>A: 当前磷化铟衬底用量最大的领域是光通信及AI算力领域，2026年该领域需求量接近200万片，2027年预计达到250-280万片，2028年需求量将达到400-500万片，2029年需求量会进一步提升。其余应用场景包括射频芯片、卫星通信、雷达、传感器以及量子技术领域，目前这些领域的需求量相对较小，暂未形成大规模应用。</w:t>
      </w:r>
    </w:p>
    <w:p w14:paraId="5BE94A0C">
      <w:pPr>
        <w:pStyle w:val="3"/>
        <w:rPr>
          <w:rFonts w:ascii="楷体" w:hAnsi="楷体" w:eastAsia="楷体" w:cs="楷体"/>
          <w:lang w:eastAsia="zh-CN"/>
        </w:rPr>
      </w:pPr>
      <w:r>
        <w:rPr>
          <w:rFonts w:hint="eastAsia" w:ascii="楷体" w:hAnsi="楷体" w:eastAsia="楷体" w:cs="楷体"/>
          <w:b/>
          <w:bCs/>
          <w:lang w:eastAsia="zh-CN"/>
        </w:rPr>
        <w:t>Q： 当前光通信领域需求的磷化铟衬底主要是几英寸的？更大尺寸衬底的推广进度如何？</w:t>
      </w:r>
    </w:p>
    <w:p w14:paraId="33081E91">
      <w:pPr>
        <w:pStyle w:val="3"/>
        <w:rPr>
          <w:rFonts w:ascii="楷体" w:hAnsi="楷体" w:eastAsia="楷体" w:cs="楷体"/>
          <w:lang w:eastAsia="zh-CN"/>
        </w:rPr>
      </w:pPr>
      <w:r>
        <w:rPr>
          <w:rFonts w:hint="eastAsia" w:ascii="楷体" w:hAnsi="楷体" w:eastAsia="楷体" w:cs="楷体"/>
          <w:lang w:eastAsia="zh-CN"/>
        </w:rPr>
        <w:t>A: 目前光通信领域使用最成熟的是3英寸磷化铟衬底。衬底需要搭配外延工艺使用，外延层数普遍在20层左右，当前行业产能紧张，企业优先保障生产交付，没有多余动力进行产线技改，因此4英寸衬底的推广进度较慢。长期来看2029-2030年行业可能会逐步转向6英寸衬底，但6英寸产线需要更换核心生产炉体，整体更新迭代需要较长时间。</w:t>
      </w:r>
    </w:p>
    <w:p w14:paraId="41A0F1C2">
      <w:pPr>
        <w:pStyle w:val="3"/>
        <w:rPr>
          <w:rFonts w:ascii="楷体" w:hAnsi="楷体" w:eastAsia="楷体" w:cs="楷体"/>
          <w:lang w:eastAsia="zh-CN"/>
        </w:rPr>
      </w:pPr>
      <w:r>
        <w:rPr>
          <w:rFonts w:hint="eastAsia" w:ascii="楷体" w:hAnsi="楷体" w:eastAsia="楷体" w:cs="楷体"/>
          <w:b/>
          <w:bCs/>
          <w:lang w:eastAsia="zh-CN"/>
        </w:rPr>
        <w:t>Q： 当前磷化铟衬底的供给和涨价情况如何？</w:t>
      </w:r>
    </w:p>
    <w:p w14:paraId="2C1CCBD8">
      <w:pPr>
        <w:pStyle w:val="3"/>
        <w:rPr>
          <w:rFonts w:ascii="楷体" w:hAnsi="楷体" w:eastAsia="楷体" w:cs="楷体"/>
          <w:lang w:eastAsia="zh-CN"/>
        </w:rPr>
      </w:pPr>
      <w:r>
        <w:rPr>
          <w:rFonts w:hint="eastAsia" w:ascii="楷体" w:hAnsi="楷体" w:eastAsia="楷体" w:cs="楷体"/>
          <w:lang w:eastAsia="zh-CN"/>
        </w:rPr>
        <w:t>A: 2026年上半年磷化铟供应相对平稳，通美有小幅度提价，主要原因是通美有2025年的旧库存支撑供应。从2026年6月开始行业已经逐步出现缺货情况，后续存在进一步提价的可能，当前通美的磷化铟衬底报价已经达到4500元/片，预计年内还有1-2次涨价，价格很有可能上涨到5000元/片以上。</w:t>
      </w:r>
    </w:p>
    <w:p w14:paraId="1DB86F80">
      <w:pPr>
        <w:pStyle w:val="3"/>
        <w:rPr>
          <w:rFonts w:ascii="楷体" w:hAnsi="楷体" w:eastAsia="楷体" w:cs="楷体"/>
          <w:lang w:eastAsia="zh-CN"/>
        </w:rPr>
      </w:pPr>
      <w:r>
        <w:rPr>
          <w:rFonts w:hint="eastAsia" w:ascii="楷体" w:hAnsi="楷体" w:eastAsia="楷体" w:cs="楷体"/>
          <w:b/>
          <w:bCs/>
          <w:lang w:eastAsia="zh-CN"/>
        </w:rPr>
        <w:t>Q： 通美当前的出口限制情况和盈利预期如何？</w:t>
      </w:r>
    </w:p>
    <w:p w14:paraId="79119A7F">
      <w:pPr>
        <w:pStyle w:val="3"/>
        <w:rPr>
          <w:rFonts w:ascii="楷体" w:hAnsi="楷体" w:eastAsia="楷体" w:cs="楷体"/>
          <w:lang w:eastAsia="zh-CN"/>
        </w:rPr>
      </w:pPr>
      <w:r>
        <w:rPr>
          <w:rFonts w:hint="eastAsia" w:ascii="楷体" w:hAnsi="楷体" w:eastAsia="楷体" w:cs="楷体"/>
          <w:lang w:eastAsia="zh-CN"/>
        </w:rPr>
        <w:t>A: 通美可以通过多种方式应对出口限制，目前经营情况良好，预计2027年通美的利润将达到2.5-3亿美金。</w:t>
      </w:r>
    </w:p>
    <w:p w14:paraId="152372A6">
      <w:pPr>
        <w:pStyle w:val="3"/>
        <w:rPr>
          <w:rFonts w:ascii="楷体" w:hAnsi="楷体" w:eastAsia="楷体" w:cs="楷体"/>
          <w:lang w:eastAsia="zh-CN"/>
        </w:rPr>
      </w:pPr>
      <w:r>
        <w:rPr>
          <w:rFonts w:hint="eastAsia" w:ascii="楷体" w:hAnsi="楷体" w:eastAsia="楷体" w:cs="楷体"/>
          <w:b/>
          <w:bCs/>
          <w:lang w:eastAsia="zh-CN"/>
        </w:rPr>
        <w:t>Q： 磷化铟衬底切割激光器的理论产出数量较高，但实际产出较少的原因是什么？</w:t>
      </w:r>
    </w:p>
    <w:p w14:paraId="01240F08">
      <w:pPr>
        <w:pStyle w:val="3"/>
        <w:rPr>
          <w:rFonts w:ascii="楷体" w:hAnsi="楷体" w:eastAsia="楷体" w:cs="楷体"/>
          <w:lang w:eastAsia="zh-CN"/>
        </w:rPr>
      </w:pPr>
      <w:r>
        <w:rPr>
          <w:rFonts w:hint="eastAsia" w:ascii="楷体" w:hAnsi="楷体" w:eastAsia="楷体" w:cs="楷体"/>
          <w:lang w:eastAsia="zh-CN"/>
        </w:rPr>
        <w:t>A: 主要原因是各环节损耗和良率叠加导致实际产出远低于理论值：首先磷化铟衬底材质较脆，晶体切片环节本身就有较多损耗；其次衬底需要做平均20层的外延工艺，包含缓冲层、波导层、有源区、掺杂层、光栅层等，每一层沉积过程中都可能出现微裂纹或者结合不良的问题，各环节良率会逐层损耗；后续还有切割划片、测试、封装耦合、模块组装等环节，每个环节都存在良率损耗，多层良率叠加之后，最终可正常使用的激光器芯片数量远低于理论值，一片3英寸衬底最终仅能产出几百到不足1000颗可用芯片。</w:t>
      </w:r>
    </w:p>
    <w:p w14:paraId="31780DC1">
      <w:pPr>
        <w:pStyle w:val="3"/>
        <w:rPr>
          <w:rFonts w:ascii="楷体" w:hAnsi="楷体" w:eastAsia="楷体" w:cs="楷体"/>
          <w:lang w:eastAsia="zh-CN"/>
        </w:rPr>
      </w:pPr>
      <w:r>
        <w:rPr>
          <w:rFonts w:hint="eastAsia" w:ascii="楷体" w:hAnsi="楷体" w:eastAsia="楷体" w:cs="楷体"/>
          <w:b/>
          <w:bCs/>
          <w:lang w:eastAsia="zh-CN"/>
        </w:rPr>
        <w:t>Q： 磷化铟衬底加工成为EML或光源的完整工序有哪些？各工序对应的良率水平如何？</w:t>
      </w:r>
    </w:p>
    <w:p w14:paraId="749E86E4">
      <w:pPr>
        <w:pStyle w:val="3"/>
        <w:rPr>
          <w:rFonts w:ascii="楷体" w:hAnsi="楷体" w:eastAsia="楷体" w:cs="楷体"/>
          <w:lang w:eastAsia="zh-CN"/>
        </w:rPr>
      </w:pPr>
      <w:r>
        <w:rPr>
          <w:rFonts w:hint="eastAsia" w:ascii="楷体" w:hAnsi="楷体" w:eastAsia="楷体" w:cs="楷体"/>
          <w:lang w:eastAsia="zh-CN"/>
        </w:rPr>
        <w:t>A: 整体流程分为外延、芯片制造、后道测试封装三大环节：1. 外延环节：先做1-2层缓冲层，用于晶格匹配与应力释放；之后制作下限制波导层，用于控制光场分布；再制作3-10层的多量子阱有源区，该环节复杂程度高、良率相对较低；接着制作上波导层并进行掺杂，掺杂技术从无掺、掺硫发展到掺铁，100毫瓦CW激光器可使用掺硫工艺，200毫瓦及以上高功率激光器必须使用掺铁工艺，掺杂层难度高、良率较低；最后制作光栅层，外延环节整体良率为各层良率的乘积。2. 芯片制造环节：外延完成后进行光刻、刻蚀工艺。3. 后道环节：先对晶圆进行划片，由于磷化铟材质较脆，划片过程容易产生肉眼不可见的微裂纹，会降低芯片发光功率，导致该环节折损率较高；划片后进行单颗芯片测试，测试完成后进行封装耦合，最终组装到光模块中，该环节整体良率约为70%-80%。</w:t>
      </w:r>
    </w:p>
    <w:p w14:paraId="2A3CC7CF">
      <w:pPr>
        <w:pStyle w:val="3"/>
        <w:rPr>
          <w:rFonts w:ascii="楷体" w:hAnsi="楷体" w:eastAsia="楷体" w:cs="楷体"/>
          <w:lang w:eastAsia="zh-CN"/>
        </w:rPr>
      </w:pPr>
      <w:r>
        <w:rPr>
          <w:rFonts w:hint="eastAsia" w:ascii="楷体" w:hAnsi="楷体" w:eastAsia="楷体" w:cs="楷体"/>
          <w:b/>
          <w:bCs/>
          <w:lang w:eastAsia="zh-CN"/>
        </w:rPr>
        <w:t>Q： 一片3英寸磷化铟衬底，以100G EML或者100毫瓦CW激光器为最终产出目标，最终可以产出多少颗合格产品？</w:t>
      </w:r>
    </w:p>
    <w:p w14:paraId="7A8BA004">
      <w:pPr>
        <w:pStyle w:val="3"/>
        <w:rPr>
          <w:rFonts w:ascii="楷体" w:hAnsi="楷体" w:eastAsia="楷体" w:cs="楷体"/>
          <w:lang w:eastAsia="zh-CN"/>
        </w:rPr>
      </w:pPr>
      <w:r>
        <w:rPr>
          <w:rFonts w:hint="eastAsia" w:ascii="楷体" w:hAnsi="楷体" w:eastAsia="楷体" w:cs="楷体"/>
          <w:lang w:eastAsia="zh-CN"/>
        </w:rPr>
        <w:t>A: 产出数量受各环节良率影响，100G EML单衬底产出约500-600颗，100毫瓦CW激光器单衬底产出约700颗。</w:t>
      </w:r>
    </w:p>
    <w:p w14:paraId="380C301F">
      <w:pPr>
        <w:pStyle w:val="3"/>
        <w:rPr>
          <w:rFonts w:ascii="楷体" w:hAnsi="楷体" w:eastAsia="楷体" w:cs="楷体"/>
          <w:lang w:eastAsia="zh-CN"/>
        </w:rPr>
      </w:pPr>
      <w:r>
        <w:rPr>
          <w:rFonts w:hint="eastAsia" w:ascii="楷体" w:hAnsi="楷体" w:eastAsia="楷体" w:cs="楷体"/>
          <w:b/>
          <w:bCs/>
          <w:lang w:eastAsia="zh-CN"/>
        </w:rPr>
        <w:t>Q： 随着光芯片速率提升，整体良率会出现明显下降吗？</w:t>
      </w:r>
    </w:p>
    <w:p w14:paraId="44BE03D5">
      <w:pPr>
        <w:pStyle w:val="3"/>
        <w:rPr>
          <w:rFonts w:ascii="楷体" w:hAnsi="楷体" w:eastAsia="楷体" w:cs="楷体"/>
          <w:lang w:eastAsia="zh-CN"/>
        </w:rPr>
      </w:pPr>
      <w:r>
        <w:rPr>
          <w:rFonts w:hint="eastAsia" w:ascii="楷体" w:hAnsi="楷体" w:eastAsia="楷体" w:cs="楷体"/>
          <w:lang w:eastAsia="zh-CN"/>
        </w:rPr>
        <w:t>A: 速率提升对应功率要求提升，需要使用掺铁掺杂工艺，相较于无掺、掺硫工艺，掺铁工艺会带来整体良率下降。同时磷化铟衬底的微裂纹缺陷在低功率场景下可能不影响产品合格性，但在高功率场景下会导致产品不合格，进一步拉升高功率产品的良率水平。</w:t>
      </w:r>
    </w:p>
    <w:p w14:paraId="30D39C68">
      <w:pPr>
        <w:pStyle w:val="3"/>
        <w:rPr>
          <w:rFonts w:ascii="楷体" w:hAnsi="楷体" w:eastAsia="楷体" w:cs="楷体"/>
          <w:lang w:eastAsia="zh-CN"/>
        </w:rPr>
      </w:pPr>
      <w:r>
        <w:rPr>
          <w:rFonts w:hint="eastAsia" w:ascii="楷体" w:hAnsi="楷体" w:eastAsia="楷体" w:cs="楷体"/>
          <w:b/>
          <w:bCs/>
          <w:lang w:eastAsia="zh-CN"/>
        </w:rPr>
        <w:t>Q： 目前国内主要厂商在磷化铟掺硫、掺铁工艺上的布局情况如何？</w:t>
      </w:r>
    </w:p>
    <w:p w14:paraId="1E08357D">
      <w:pPr>
        <w:pStyle w:val="3"/>
        <w:rPr>
          <w:rFonts w:ascii="楷体" w:hAnsi="楷体" w:eastAsia="楷体" w:cs="楷体"/>
          <w:lang w:eastAsia="zh-CN"/>
        </w:rPr>
      </w:pPr>
      <w:r>
        <w:rPr>
          <w:rFonts w:hint="eastAsia" w:ascii="楷体" w:hAnsi="楷体" w:eastAsia="楷体" w:cs="楷体"/>
          <w:lang w:eastAsia="zh-CN"/>
        </w:rPr>
        <w:t>A: 由于光芯片功率提升必须使用掺铁工艺，目前国内外延厂商均在向掺铁工艺方向布局。</w:t>
      </w:r>
    </w:p>
    <w:p w14:paraId="5A6FE593">
      <w:pPr>
        <w:pStyle w:val="3"/>
        <w:rPr>
          <w:rFonts w:ascii="楷体" w:hAnsi="楷体" w:eastAsia="楷体" w:cs="楷体"/>
          <w:lang w:eastAsia="zh-CN"/>
        </w:rPr>
      </w:pPr>
      <w:r>
        <w:rPr>
          <w:rFonts w:hint="eastAsia" w:ascii="楷体" w:hAnsi="楷体" w:eastAsia="楷体" w:cs="楷体"/>
          <w:b/>
          <w:bCs/>
          <w:lang w:eastAsia="zh-CN"/>
        </w:rPr>
        <w:t>Q： 2026、2027年磷化铟衬底的下游需求情况如何？</w:t>
      </w:r>
    </w:p>
    <w:p w14:paraId="15D62469">
      <w:pPr>
        <w:pStyle w:val="3"/>
        <w:rPr>
          <w:rFonts w:ascii="楷体" w:hAnsi="楷体" w:eastAsia="楷体" w:cs="楷体"/>
          <w:lang w:eastAsia="zh-CN"/>
        </w:rPr>
      </w:pPr>
      <w:r>
        <w:rPr>
          <w:rFonts w:hint="eastAsia" w:ascii="楷体" w:hAnsi="楷体" w:eastAsia="楷体" w:cs="楷体"/>
          <w:lang w:eastAsia="zh-CN"/>
        </w:rPr>
        <w:t>A: 需求可以根据光模块芯片用量测算，单光模块的磷化铟芯片用量约为5-6颗，部分场景可达7-8颗，具体用量取决于单通道、双通道配置。2026年国内需求方面：云锗需求约10多万片，华星需求约8-10万片，群磊需求约5-6万片；索尔思可根据其光模块出货量推算，若年出货1000万支，对应芯片需求约6000万颗，折合衬底需求约10-12万片【口径验证修改】。海外需求处于爆发期，AOI预计2029年磷化铟衬底需求将达到100万片，Lumentum和Coherent的需求预计比AOI更高。2027年整体需求预计为250万片-280万片。</w:t>
      </w:r>
    </w:p>
    <w:p w14:paraId="74B4C603">
      <w:pPr>
        <w:pStyle w:val="3"/>
        <w:rPr>
          <w:rFonts w:ascii="楷体" w:hAnsi="楷体" w:eastAsia="楷体" w:cs="楷体"/>
          <w:lang w:eastAsia="zh-CN"/>
        </w:rPr>
      </w:pPr>
      <w:r>
        <w:rPr>
          <w:rFonts w:hint="eastAsia" w:ascii="楷体" w:hAnsi="楷体" w:eastAsia="楷体" w:cs="楷体"/>
          <w:b/>
          <w:bCs/>
          <w:lang w:eastAsia="zh-CN"/>
        </w:rPr>
        <w:t>Q： 目前已有多家磷化铟厂商宣布扩产，还有不少企业跨界进入该领域，2027年磷化铟衬底是否还会处于紧缺状态？</w:t>
      </w:r>
    </w:p>
    <w:p w14:paraId="2E3CDDEA">
      <w:pPr>
        <w:pStyle w:val="3"/>
        <w:rPr>
          <w:rFonts w:ascii="楷体" w:hAnsi="楷体" w:eastAsia="楷体" w:cs="楷体"/>
          <w:lang w:eastAsia="zh-CN"/>
        </w:rPr>
      </w:pPr>
      <w:r>
        <w:rPr>
          <w:rFonts w:hint="eastAsia" w:ascii="楷体" w:hAnsi="楷体" w:eastAsia="楷体" w:cs="楷体"/>
          <w:lang w:eastAsia="zh-CN"/>
        </w:rPr>
        <w:t>A: 2027年磷化铟衬底仍会处于紧缺状态。2027年整体需求预计为250万片-280万片，而供给端受扩产进度限制，产能爬坡需要经历炉子调通、良率爬升的过程，叠加工艺人才储备需要时间，2027年有效供给预计仅为一百大几十万片，不足200万片，存在明显供给缺口。</w:t>
      </w:r>
    </w:p>
    <w:p w14:paraId="2F7C6AE2">
      <w:pPr>
        <w:pStyle w:val="3"/>
        <w:rPr>
          <w:rFonts w:ascii="楷体" w:hAnsi="楷体" w:eastAsia="楷体" w:cs="楷体"/>
          <w:lang w:eastAsia="zh-CN"/>
        </w:rPr>
      </w:pPr>
      <w:r>
        <w:rPr>
          <w:rFonts w:hint="eastAsia" w:ascii="楷体" w:hAnsi="楷体" w:eastAsia="楷体" w:cs="楷体"/>
          <w:b/>
          <w:bCs/>
          <w:lang w:eastAsia="zh-CN"/>
        </w:rPr>
        <w:t>Q： 公司合作的磷化铟衬底供应商有哪些？各家产品情况如何？</w:t>
      </w:r>
    </w:p>
    <w:p w14:paraId="3B050079">
      <w:pPr>
        <w:pStyle w:val="3"/>
        <w:rPr>
          <w:rFonts w:ascii="楷体" w:hAnsi="楷体" w:eastAsia="楷体" w:cs="楷体"/>
          <w:lang w:eastAsia="zh-CN"/>
        </w:rPr>
      </w:pPr>
      <w:r>
        <w:rPr>
          <w:rFonts w:hint="eastAsia" w:ascii="楷体" w:hAnsi="楷体" w:eastAsia="楷体" w:cs="楷体"/>
          <w:lang w:eastAsia="zh-CN"/>
        </w:rPr>
        <w:t>A: 目前主流磷化铟衬底供应商有通美、云锗、先导、大庆溢泰这几家，供应商对外交付的衬底都是经过测试的良品，不良品不会向外供应。衬底的良率损失主要发生在我方后续的外延、划片等生产工序中，各家供应商交付的产品使用起来差异不大。</w:t>
      </w:r>
    </w:p>
    <w:p w14:paraId="580FB6A2">
      <w:pPr>
        <w:pStyle w:val="3"/>
        <w:rPr>
          <w:rFonts w:ascii="楷体" w:hAnsi="楷体" w:eastAsia="楷体" w:cs="楷体"/>
          <w:lang w:eastAsia="zh-CN"/>
        </w:rPr>
      </w:pPr>
      <w:r>
        <w:rPr>
          <w:rFonts w:hint="eastAsia" w:ascii="楷体" w:hAnsi="楷体" w:eastAsia="楷体" w:cs="楷体"/>
          <w:b/>
          <w:bCs/>
          <w:lang w:eastAsia="zh-CN"/>
        </w:rPr>
        <w:t>Q： 国内几家磷化铟衬底供应商和通美相比，在技术水平、扩产进度等方面的情况如何？</w:t>
      </w:r>
    </w:p>
    <w:p w14:paraId="1E52A18C">
      <w:pPr>
        <w:pStyle w:val="3"/>
        <w:rPr>
          <w:rFonts w:ascii="楷体" w:hAnsi="楷体" w:eastAsia="楷体" w:cs="楷体"/>
          <w:lang w:eastAsia="zh-CN"/>
        </w:rPr>
      </w:pPr>
      <w:r>
        <w:rPr>
          <w:rFonts w:hint="eastAsia" w:ascii="楷体" w:hAnsi="楷体" w:eastAsia="楷体" w:cs="楷体"/>
          <w:lang w:eastAsia="zh-CN"/>
        </w:rPr>
        <w:t>A: 通美目前仍是综合实力较强的磷化铟衬底供应商。国内厂商的情况如下：</w:t>
      </w:r>
    </w:p>
    <w:p w14:paraId="3B205B79">
      <w:pPr>
        <w:pStyle w:val="3"/>
        <w:rPr>
          <w:rFonts w:ascii="楷体" w:hAnsi="楷体" w:eastAsia="楷体" w:cs="楷体"/>
          <w:lang w:eastAsia="zh-CN"/>
        </w:rPr>
      </w:pPr>
      <w:r>
        <w:rPr>
          <w:rFonts w:hint="eastAsia" w:ascii="楷体" w:hAnsi="楷体" w:eastAsia="楷体" w:cs="楷体"/>
          <w:lang w:eastAsia="zh-CN"/>
        </w:rPr>
        <w:t>云锗：目前国内实际出货量相对更高云锗：2026年出货量高于先导，是当前国内实际出货量相对更高的厂商，计划2027年扩产至25万片，但目前可能存在团队变动的问题，该信息有待核实。</w:t>
      </w:r>
    </w:p>
    <w:p w14:paraId="39E932BE">
      <w:pPr>
        <w:pStyle w:val="3"/>
        <w:rPr>
          <w:rFonts w:ascii="楷体" w:hAnsi="楷体" w:eastAsia="楷体" w:cs="楷体"/>
          <w:lang w:eastAsia="zh-CN"/>
        </w:rPr>
      </w:pPr>
      <w:r>
        <w:rPr>
          <w:rFonts w:hint="eastAsia" w:ascii="楷体" w:hAnsi="楷体" w:eastAsia="楷体" w:cs="楷体"/>
          <w:lang w:eastAsia="zh-CN"/>
        </w:rPr>
        <w:t>先导：计划2027年扩产至25万片，整体发展情况较好。</w:t>
      </w:r>
    </w:p>
    <w:p w14:paraId="1088E1BF">
      <w:pPr>
        <w:pStyle w:val="3"/>
        <w:rPr>
          <w:rFonts w:ascii="楷体" w:hAnsi="楷体" w:eastAsia="楷体" w:cs="楷体"/>
          <w:lang w:eastAsia="zh-CN"/>
        </w:rPr>
      </w:pPr>
      <w:r>
        <w:rPr>
          <w:rFonts w:hint="eastAsia" w:ascii="楷体" w:hAnsi="楷体" w:eastAsia="楷体" w:cs="楷体"/>
          <w:lang w:eastAsia="zh-CN"/>
        </w:rPr>
        <w:t>溢泰：是几家中扩产速度最快的厂商，其原有砷化镓业务的工艺、生产设备可迁移参考至磷化铟生产，且产业工人可从砷化镓业务线直接转岗，同时其号称生产炉子为自制，进一步加快了扩产节奏。</w:t>
      </w:r>
    </w:p>
    <w:p w14:paraId="571E033A">
      <w:pPr>
        <w:pStyle w:val="3"/>
        <w:rPr>
          <w:rFonts w:ascii="楷体" w:hAnsi="楷体" w:eastAsia="楷体" w:cs="楷体"/>
          <w:lang w:eastAsia="zh-CN"/>
        </w:rPr>
      </w:pPr>
      <w:r>
        <w:rPr>
          <w:rFonts w:hint="eastAsia" w:ascii="楷体" w:hAnsi="楷体" w:eastAsia="楷体" w:cs="楷体"/>
          <w:b/>
          <w:bCs/>
          <w:lang w:eastAsia="zh-CN"/>
        </w:rPr>
        <w:t>Q： 是否了解几家磷化铟衬底供应商的自身生产良率情况？</w:t>
      </w:r>
    </w:p>
    <w:p w14:paraId="5238F1AD">
      <w:pPr>
        <w:pStyle w:val="3"/>
        <w:rPr>
          <w:rFonts w:ascii="楷体" w:hAnsi="楷体" w:eastAsia="楷体" w:cs="楷体"/>
          <w:lang w:eastAsia="zh-CN"/>
        </w:rPr>
      </w:pPr>
      <w:r>
        <w:rPr>
          <w:rFonts w:hint="eastAsia" w:ascii="楷体" w:hAnsi="楷体" w:eastAsia="楷体" w:cs="楷体"/>
          <w:lang w:eastAsia="zh-CN"/>
        </w:rPr>
        <w:t>A: 各家供应商自身的生产良率属于内部信息，我们并不了解，仅能掌握我方采购后进行后续生产环节的相关良率情况。</w:t>
      </w:r>
    </w:p>
    <w:p w14:paraId="264C5085">
      <w:pPr>
        <w:pStyle w:val="3"/>
        <w:rPr>
          <w:rFonts w:ascii="楷体" w:hAnsi="楷体" w:eastAsia="楷体" w:cs="楷体"/>
          <w:lang w:eastAsia="zh-CN"/>
        </w:rPr>
      </w:pPr>
      <w:r>
        <w:rPr>
          <w:rFonts w:hint="eastAsia" w:ascii="楷体" w:hAnsi="楷体" w:eastAsia="楷体" w:cs="楷体"/>
          <w:b/>
          <w:bCs/>
          <w:lang w:eastAsia="zh-CN"/>
        </w:rPr>
        <w:t>Q： 海外磷化铟衬底厂商的扩产情况和国内相比有什么差异？</w:t>
      </w:r>
    </w:p>
    <w:p w14:paraId="2985EC84">
      <w:pPr>
        <w:pStyle w:val="3"/>
        <w:rPr>
          <w:rFonts w:ascii="楷体" w:hAnsi="楷体" w:eastAsia="楷体" w:cs="楷体"/>
          <w:lang w:eastAsia="zh-CN"/>
        </w:rPr>
      </w:pPr>
      <w:r>
        <w:rPr>
          <w:rFonts w:hint="eastAsia" w:ascii="楷体" w:hAnsi="楷体" w:eastAsia="楷体" w:cs="楷体"/>
          <w:lang w:eastAsia="zh-CN"/>
        </w:rPr>
        <w:t>A: 住友、JX金属等海外厂商也有扩产计划，但因为原材料受限，扩产困难，国内厂商的扩产速度优势明显，国内预计扩产最快的是溢泰，因为工人可以从砷化镓这边比较快的迁移过来。</w:t>
      </w:r>
    </w:p>
    <w:p w14:paraId="34ADB627">
      <w:pPr>
        <w:pStyle w:val="3"/>
        <w:rPr>
          <w:rFonts w:ascii="楷体" w:hAnsi="楷体" w:eastAsia="楷体" w:cs="楷体"/>
          <w:lang w:eastAsia="zh-CN"/>
        </w:rPr>
      </w:pPr>
      <w:r>
        <w:rPr>
          <w:rFonts w:hint="eastAsia" w:ascii="楷体" w:hAnsi="楷体" w:eastAsia="楷体" w:cs="楷体"/>
          <w:b/>
          <w:bCs/>
          <w:lang w:eastAsia="zh-CN"/>
        </w:rPr>
        <w:t>Q： 下游客户对磷化铟衬底涨价的接受度如何？后续价格走势怎么看？</w:t>
      </w:r>
    </w:p>
    <w:p w14:paraId="69F704F0">
      <w:pPr>
        <w:pStyle w:val="3"/>
        <w:rPr>
          <w:rFonts w:ascii="楷体" w:hAnsi="楷体" w:eastAsia="楷体" w:cs="楷体"/>
          <w:lang w:eastAsia="zh-CN"/>
        </w:rPr>
      </w:pPr>
      <w:r>
        <w:rPr>
          <w:rFonts w:hint="eastAsia" w:ascii="楷体" w:hAnsi="楷体" w:eastAsia="楷体" w:cs="楷体"/>
          <w:lang w:eastAsia="zh-CN"/>
        </w:rPr>
        <w:t>A: 磷化铟衬底成本在最终光模块中的占比不高，下游对涨价的接受度较好。目前涨价的核心逻辑是供需缺口下的产品稀缺，下游客户普遍开始锁单，2026年磷化铟衬底价格还有1-2次的涨价空间。</w:t>
      </w:r>
    </w:p>
    <w:p w14:paraId="4A2A2480">
      <w:pPr>
        <w:pStyle w:val="3"/>
        <w:rPr>
          <w:rFonts w:ascii="楷体" w:hAnsi="楷体" w:eastAsia="楷体" w:cs="楷体"/>
          <w:lang w:eastAsia="zh-CN"/>
        </w:rPr>
      </w:pPr>
      <w:r>
        <w:rPr>
          <w:rFonts w:hint="eastAsia" w:ascii="楷体" w:hAnsi="楷体" w:eastAsia="楷体" w:cs="楷体"/>
          <w:b/>
          <w:bCs/>
          <w:lang w:eastAsia="zh-CN"/>
        </w:rPr>
        <w:t>Q： 目前磷化铟衬底的锁单模式是什么样的，是锁量又锁价还是只锁量不锁价？</w:t>
      </w:r>
    </w:p>
    <w:p w14:paraId="1D05BFDB">
      <w:pPr>
        <w:pStyle w:val="3"/>
        <w:rPr>
          <w:rFonts w:ascii="楷体" w:hAnsi="楷体" w:eastAsia="楷体" w:cs="楷体"/>
          <w:lang w:eastAsia="zh-CN"/>
        </w:rPr>
      </w:pPr>
      <w:r>
        <w:rPr>
          <w:rFonts w:hint="eastAsia" w:ascii="楷体" w:hAnsi="楷体" w:eastAsia="楷体" w:cs="楷体"/>
          <w:lang w:eastAsia="zh-CN"/>
        </w:rPr>
        <w:t>A: 目前锁单主要先通过投标方式开展，下游客户希望同时锁量锁价，但锁价难度较大。价格难锁定的主要原因是上游原材料价格上涨，其中铟价格2026年出现上涨，同时6N红磷价格也在上涨，且还存在供应安全性问题。</w:t>
      </w:r>
    </w:p>
    <w:p w14:paraId="143ADFB1">
      <w:pPr>
        <w:pStyle w:val="3"/>
        <w:rPr>
          <w:rFonts w:ascii="楷体" w:hAnsi="楷体" w:eastAsia="楷体" w:cs="楷体"/>
          <w:lang w:eastAsia="zh-CN"/>
        </w:rPr>
      </w:pPr>
      <w:r>
        <w:rPr>
          <w:rFonts w:hint="eastAsia" w:ascii="楷体" w:hAnsi="楷体" w:eastAsia="楷体" w:cs="楷体"/>
          <w:b/>
          <w:bCs/>
          <w:lang w:eastAsia="zh-CN"/>
        </w:rPr>
        <w:t>Q： 未来全球磷化铟衬底的竞争格局将发生怎样的变化？国内厂商的市场份额会有怎样的走势？</w:t>
      </w:r>
    </w:p>
    <w:p w14:paraId="7674EE4F">
      <w:pPr>
        <w:pStyle w:val="3"/>
        <w:rPr>
          <w:rFonts w:ascii="楷体" w:hAnsi="楷体" w:eastAsia="楷体" w:cs="楷体"/>
          <w:lang w:eastAsia="zh-CN"/>
        </w:rPr>
      </w:pPr>
      <w:r>
        <w:rPr>
          <w:rFonts w:hint="eastAsia" w:ascii="楷体" w:hAnsi="楷体" w:eastAsia="楷体" w:cs="楷体"/>
          <w:lang w:eastAsia="zh-CN"/>
        </w:rPr>
        <w:t>A: 目前中美厂商在磷化铟衬底领域的竞争力最强，其中通美是行业内实力最强的企业。国内厂商的发展情况需关注本轮扩产进度以及扩产后的良率水平，相对看好大庆溢泰和先导，这两家企业目前正处于扩产阶段且判断已实现有效扩产；云锗受团队变动影响较大。</w:t>
      </w:r>
    </w:p>
    <w:p w14:paraId="76F21A3B">
      <w:pPr>
        <w:pStyle w:val="3"/>
        <w:rPr>
          <w:rFonts w:ascii="楷体" w:hAnsi="楷体" w:eastAsia="楷体" w:cs="楷体"/>
          <w:lang w:eastAsia="zh-CN"/>
        </w:rPr>
      </w:pPr>
      <w:r>
        <w:rPr>
          <w:rFonts w:hint="eastAsia" w:ascii="楷体" w:hAnsi="楷体" w:eastAsia="楷体" w:cs="楷体"/>
          <w:b/>
          <w:bCs/>
          <w:lang w:eastAsia="zh-CN"/>
        </w:rPr>
        <w:t>Q： 当前国内厂商在光芯片领域的送样情况如何？光芯片相关验收、认证周期是否会因为当前供需紧张的市场环境有所缩短？</w:t>
      </w:r>
    </w:p>
    <w:p w14:paraId="28E48707">
      <w:pPr>
        <w:pStyle w:val="3"/>
        <w:rPr>
          <w:rFonts w:ascii="楷体" w:hAnsi="楷体" w:eastAsia="楷体" w:cs="楷体"/>
          <w:lang w:eastAsia="zh-CN"/>
        </w:rPr>
      </w:pPr>
      <w:r>
        <w:rPr>
          <w:rFonts w:hint="eastAsia" w:ascii="楷体" w:hAnsi="楷体" w:eastAsia="楷体" w:cs="楷体"/>
          <w:lang w:eastAsia="zh-CN"/>
        </w:rPr>
        <w:t>A: 正常情况下光模块相关的认证周期通常为一年左右，需要完成下游端的最终认证。当前磷化铟衬底产能紧张、供给稀缺，认证周期会有所加速，针对具备扩产能力的供应商会重点加快认证进度，目标将认证周期缩短至半年以内，不具备扩产能力的供应商认证进度会相对较慢，以此推动供应商快速扩产满足下游需求。</w:t>
      </w:r>
    </w:p>
    <w:p w14:paraId="7BBE2D42">
      <w:pPr>
        <w:pStyle w:val="3"/>
        <w:rPr>
          <w:rFonts w:ascii="楷体" w:hAnsi="楷体" w:eastAsia="楷体" w:cs="楷体"/>
          <w:lang w:eastAsia="zh-CN"/>
        </w:rPr>
      </w:pPr>
      <w:r>
        <w:rPr>
          <w:rFonts w:hint="eastAsia" w:ascii="楷体" w:hAnsi="楷体" w:eastAsia="楷体" w:cs="楷体"/>
          <w:b/>
          <w:bCs/>
          <w:lang w:eastAsia="zh-CN"/>
        </w:rPr>
        <w:t>Q： NPO、CPO等技术路线的演进，会对磷化铟衬底提出哪些新的要求？</w:t>
      </w:r>
    </w:p>
    <w:p w14:paraId="178252FC">
      <w:pPr>
        <w:pStyle w:val="3"/>
        <w:rPr>
          <w:rFonts w:ascii="楷体" w:hAnsi="楷体" w:eastAsia="楷体" w:cs="楷体"/>
          <w:lang w:eastAsia="zh-CN"/>
        </w:rPr>
      </w:pPr>
      <w:r>
        <w:rPr>
          <w:rFonts w:hint="eastAsia" w:ascii="楷体" w:hAnsi="楷体" w:eastAsia="楷体" w:cs="楷体"/>
          <w:lang w:eastAsia="zh-CN"/>
        </w:rPr>
        <w:t>A: NPO、CPO技术的发展会大幅提升磷化铟的需求规模，同时对衬底的功率要求更高，需要使用更大功率的磷化铟衬底，要求衬底必须进行掺杂，且整体工艺要求也会进一步提升。</w:t>
      </w:r>
    </w:p>
    <w:p w14:paraId="1D3D1ABB">
      <w:pPr>
        <w:pStyle w:val="3"/>
        <w:rPr>
          <w:rFonts w:ascii="楷体" w:hAnsi="楷体" w:eastAsia="楷体" w:cs="楷体"/>
          <w:lang w:eastAsia="zh-CN"/>
        </w:rPr>
      </w:pPr>
      <w:r>
        <w:rPr>
          <w:rFonts w:hint="eastAsia" w:ascii="楷体" w:hAnsi="楷体" w:eastAsia="楷体" w:cs="楷体"/>
          <w:b/>
          <w:bCs/>
          <w:lang w:eastAsia="zh-CN"/>
        </w:rPr>
        <w:t>Q： 国内磷化铟衬底厂商在NPO、CPO所需的衬底领域是否具备竞争优势？</w:t>
      </w:r>
    </w:p>
    <w:p w14:paraId="203F749A">
      <w:pPr>
        <w:pStyle w:val="3"/>
        <w:rPr>
          <w:rFonts w:ascii="楷体" w:hAnsi="楷体" w:eastAsia="楷体" w:cs="楷体"/>
          <w:lang w:eastAsia="zh-CN"/>
        </w:rPr>
      </w:pPr>
      <w:r>
        <w:rPr>
          <w:rFonts w:hint="eastAsia" w:ascii="楷体" w:hAnsi="楷体" w:eastAsia="楷体" w:cs="楷体"/>
          <w:lang w:eastAsia="zh-CN"/>
        </w:rPr>
        <w:t>A: 国内厂商首先需要将衬底品质提升至通美的同等水平，核心是解决出口问题。海外对磷化铟衬底的需求量很大，仅通美一家无法满足全部需求，若国内厂商能实现出口，将获得充足的市场空间。</w:t>
      </w:r>
    </w:p>
    <w:p w14:paraId="63C6078E">
      <w:pPr>
        <w:pStyle w:val="3"/>
        <w:rPr>
          <w:rFonts w:ascii="楷体" w:hAnsi="楷体" w:eastAsia="楷体" w:cs="楷体"/>
          <w:lang w:eastAsia="zh-CN"/>
        </w:rPr>
      </w:pPr>
      <w:r>
        <w:rPr>
          <w:rFonts w:hint="eastAsia" w:ascii="楷体" w:hAnsi="楷体" w:eastAsia="楷体" w:cs="楷体"/>
          <w:b/>
          <w:bCs/>
          <w:lang w:eastAsia="zh-CN"/>
        </w:rPr>
        <w:t>Q： 后续政策变化对磷化铟衬底出口会有多大影响？出口限制是否会逐步缓解改善？</w:t>
      </w:r>
    </w:p>
    <w:p w14:paraId="00A6B6DA">
      <w:pPr>
        <w:pStyle w:val="3"/>
        <w:rPr>
          <w:rFonts w:ascii="楷体" w:hAnsi="楷体" w:eastAsia="楷体" w:cs="楷体"/>
          <w:lang w:eastAsia="zh-CN"/>
        </w:rPr>
      </w:pPr>
      <w:r>
        <w:rPr>
          <w:rFonts w:hint="eastAsia" w:ascii="楷体" w:hAnsi="楷体" w:eastAsia="楷体" w:cs="楷体"/>
          <w:lang w:eastAsia="zh-CN"/>
        </w:rPr>
        <w:t>A: 磷化铟衬底出口涉及政策监管，不确定性较高，主要取决于企业各自的资质获取能力，谁能拿到商务部的出口许可证、实现出口，谁就能够占据发展优势。除申请出口资质外，去海外建厂也是解决出口问题的可选路径。</w:t>
      </w:r>
    </w:p>
    <w:p w14:paraId="2BD74DD9">
      <w:pPr>
        <w:pStyle w:val="3"/>
        <w:rPr>
          <w:rFonts w:ascii="楷体" w:hAnsi="楷体" w:eastAsia="楷体" w:cs="楷体"/>
          <w:lang w:eastAsia="zh-CN"/>
        </w:rPr>
      </w:pPr>
      <w:r>
        <w:rPr>
          <w:rFonts w:hint="eastAsia" w:ascii="楷体" w:hAnsi="楷体" w:eastAsia="楷体" w:cs="楷体"/>
          <w:b/>
          <w:bCs/>
          <w:lang w:eastAsia="zh-CN"/>
        </w:rPr>
        <w:t>Q： 当前国内磷化铟衬底厂商是否有去海外建厂的趋势？</w:t>
      </w:r>
    </w:p>
    <w:p w14:paraId="262251CE">
      <w:pPr>
        <w:pStyle w:val="70"/>
        <w:keepNext w:val="0"/>
        <w:keepLines w:val="0"/>
        <w:widowControl/>
        <w:suppressLineNumbers w:val="0"/>
        <w:rPr>
          <w:rFonts w:ascii="楷体" w:hAnsi="楷体" w:eastAsia="楷体" w:cs="楷体"/>
          <w:lang w:eastAsia="zh-CN"/>
        </w:rPr>
      </w:pPr>
      <w:r>
        <w:rPr>
          <w:rFonts w:hint="eastAsia" w:ascii="楷体" w:hAnsi="楷体" w:eastAsia="楷体" w:cs="楷体"/>
          <w:lang w:eastAsia="zh-CN"/>
        </w:rPr>
        <w:t>A: 目前国内厂商的重心是先完成国内的扩产，优先把国内产能拉起来，预计2027年、2028年可能会有1-2家企业产生海外建厂的想法，当前暂未看到相关规划。国内扩产阶段除产能建设外，还需要完善认证体系、完成产业工人培训，相关配套资源目前都集中在国内。</w:t>
      </w:r>
      <w:r>
        <w:rPr>
          <w:rStyle w:val="71"/>
        </w:rPr>
        <w:t>源头信息加微信</w:t>
      </w:r>
      <w:r>
        <w:t xml:space="preserve"> WUXL3408</w:t>
      </w:r>
      <w:bookmarkStart w:id="0" w:name="_GoBack"/>
      <w:bookmarkEnd w:id="0"/>
    </w:p>
    <w:p w14:paraId="218607E0">
      <w:pPr>
        <w:pStyle w:val="3"/>
        <w:rPr>
          <w:rFonts w:ascii="楷体" w:hAnsi="楷体" w:eastAsia="楷体" w:cs="楷体"/>
          <w:lang w:eastAsia="zh-CN"/>
        </w:rPr>
      </w:pPr>
      <w:r>
        <w:rPr>
          <w:rFonts w:hint="eastAsia" w:ascii="楷体" w:hAnsi="楷体" w:eastAsia="楷体" w:cs="楷体"/>
          <w:b/>
          <w:bCs/>
          <w:lang w:eastAsia="zh-CN"/>
        </w:rPr>
        <w:t>Q： 国内厂商扩产节奏相比预期会更快还是更慢？后续磷化铟的供需缺口会呈现怎样的变化趋势？</w:t>
      </w:r>
    </w:p>
    <w:p w14:paraId="273A8F45">
      <w:pPr>
        <w:pStyle w:val="3"/>
        <w:rPr>
          <w:rFonts w:ascii="楷体" w:hAnsi="楷体" w:eastAsia="楷体" w:cs="楷体"/>
          <w:lang w:eastAsia="zh-CN"/>
        </w:rPr>
      </w:pPr>
      <w:r>
        <w:rPr>
          <w:rFonts w:hint="eastAsia" w:ascii="楷体" w:hAnsi="楷体" w:eastAsia="楷体" w:cs="楷体"/>
          <w:lang w:eastAsia="zh-CN"/>
        </w:rPr>
        <w:t>A: 国内磷化铟衬底的扩产节奏不会快于预期，只会慢于预期，同时供需缺口会持续上升。主要原因是下游需求快速放大，而磷化铟衬底生产步骤多，各环节良率提升需要过程，且产业工人的培训周期较长，整体扩产速度跟不上需求增长速度。下游客户也会优先与具备快速扩产能力的磷化铟衬底企业合作，加快认证、加大订单量，具备扩产能力的厂商将拥有更强的竞争优势。</w:t>
      </w:r>
    </w:p>
    <w:p w14:paraId="51AD6B1D">
      <w:pPr>
        <w:pStyle w:val="3"/>
        <w:rPr>
          <w:rFonts w:ascii="楷体" w:hAnsi="楷体" w:eastAsia="楷体" w:cs="楷体"/>
          <w:lang w:eastAsia="zh-CN"/>
        </w:rPr>
      </w:pPr>
      <w:r>
        <w:rPr>
          <w:rFonts w:hint="eastAsia" w:ascii="楷体" w:hAnsi="楷体" w:eastAsia="楷体" w:cs="楷体"/>
          <w:b/>
          <w:bCs/>
          <w:lang w:eastAsia="zh-CN"/>
        </w:rPr>
        <w:t>Q： 磷化铟相关的光模块、衬底需求测算逻辑是怎样的，12万片的需求数是否正确？</w:t>
      </w:r>
    </w:p>
    <w:p w14:paraId="44CB84C6">
      <w:pPr>
        <w:pStyle w:val="3"/>
        <w:rPr>
          <w:rFonts w:ascii="楷体" w:hAnsi="楷体" w:eastAsia="楷体" w:cs="楷体"/>
          <w:lang w:eastAsia="zh-CN"/>
        </w:rPr>
      </w:pPr>
      <w:r>
        <w:rPr>
          <w:rFonts w:hint="eastAsia" w:ascii="楷体" w:hAnsi="楷体" w:eastAsia="楷体" w:cs="楷体"/>
          <w:lang w:eastAsia="zh-CN"/>
        </w:rPr>
        <w:t>A: 需求测算逻辑为：光模块出货量对应衬底需求时，若为800G光模块用EML芯片则系数乘8；若为800G光模块用70毫瓦CW芯片则按单通道/双通道除4，1.6T光模块用两颗100毫瓦CW芯片则除2。单块3英寸衬底可产出的芯片数量，EML芯片约为800颗，70毫瓦CW芯片约为八九百颗，1.6T对应的CW芯片约为六七百颗。此前计算时误将乘6算为除6，修正后12万片的需求数是正确的。</w:t>
      </w:r>
    </w:p>
    <w:p w14:paraId="704D4821">
      <w:pPr>
        <w:pStyle w:val="3"/>
        <w:rPr>
          <w:rFonts w:ascii="楷体" w:hAnsi="楷体" w:eastAsia="楷体" w:cs="楷体"/>
          <w:lang w:eastAsia="zh-CN"/>
        </w:rPr>
      </w:pPr>
      <w:r>
        <w:rPr>
          <w:rFonts w:hint="eastAsia" w:ascii="楷体" w:hAnsi="楷体" w:eastAsia="楷体" w:cs="楷体"/>
          <w:b/>
          <w:bCs/>
          <w:lang w:eastAsia="zh-CN"/>
        </w:rPr>
        <w:t>Q： 磷化铟芯片切割环节的良率大概在什么水平？</w:t>
      </w:r>
    </w:p>
    <w:p w14:paraId="1057EF8A">
      <w:pPr>
        <w:pStyle w:val="3"/>
        <w:rPr>
          <w:rFonts w:ascii="楷体" w:hAnsi="楷体" w:eastAsia="楷体" w:cs="楷体"/>
          <w:lang w:eastAsia="zh-CN"/>
        </w:rPr>
      </w:pPr>
      <w:r>
        <w:rPr>
          <w:rFonts w:hint="eastAsia" w:ascii="楷体" w:hAnsi="楷体" w:eastAsia="楷体" w:cs="楷体"/>
          <w:lang w:eastAsia="zh-CN"/>
        </w:rPr>
        <w:t>A: 切割良率根据各家工艺水平存在差异，做得好的可以达到50%-60%，做得差的在30%-40%。</w:t>
      </w:r>
    </w:p>
    <w:p w14:paraId="37069C89">
      <w:pPr>
        <w:pStyle w:val="3"/>
        <w:rPr>
          <w:rFonts w:ascii="楷体" w:hAnsi="楷体" w:eastAsia="楷体" w:cs="楷体"/>
          <w:lang w:eastAsia="zh-CN"/>
        </w:rPr>
      </w:pPr>
      <w:r>
        <w:rPr>
          <w:rFonts w:hint="eastAsia" w:ascii="楷体" w:hAnsi="楷体" w:eastAsia="楷体" w:cs="楷体"/>
          <w:b/>
          <w:bCs/>
          <w:lang w:eastAsia="zh-CN"/>
        </w:rPr>
        <w:t>Q： 磷化铟外延片的良率统计口径是怎样的，多层结构下良率如何计算？</w:t>
      </w:r>
    </w:p>
    <w:p w14:paraId="2710F4BD">
      <w:pPr>
        <w:pStyle w:val="3"/>
        <w:rPr>
          <w:rFonts w:ascii="楷体" w:hAnsi="楷体" w:eastAsia="楷体" w:cs="楷体"/>
          <w:lang w:eastAsia="zh-CN"/>
        </w:rPr>
      </w:pPr>
      <w:r>
        <w:rPr>
          <w:rFonts w:hint="eastAsia" w:ascii="楷体" w:hAnsi="楷体" w:eastAsia="楷体" w:cs="楷体"/>
          <w:lang w:eastAsia="zh-CN"/>
        </w:rPr>
        <w:t>A: 磷化铟外延片共有20层左右，分为缓冲层、波导层等5-6种不同类型的层，良率统计口径由各厂商自行确定，最终总良率需要将每一层的良率相乘，每层通常会有十几个点的良率损失。</w:t>
      </w:r>
    </w:p>
    <w:p w14:paraId="3D79A251">
      <w:pPr>
        <w:pStyle w:val="3"/>
        <w:rPr>
          <w:rFonts w:ascii="楷体" w:hAnsi="楷体" w:eastAsia="楷体" w:cs="楷体"/>
          <w:lang w:eastAsia="zh-CN"/>
        </w:rPr>
      </w:pPr>
      <w:r>
        <w:rPr>
          <w:rFonts w:hint="eastAsia" w:ascii="楷体" w:hAnsi="楷体" w:eastAsia="楷体" w:cs="楷体"/>
          <w:b/>
          <w:bCs/>
          <w:lang w:eastAsia="zh-CN"/>
        </w:rPr>
        <w:t>Q： 磷化铟衬底环节各家的成本差异主要来自哪里，BOM成本未来走势如何，扩产企业之间的成本控制差异大吗？</w:t>
      </w:r>
    </w:p>
    <w:p w14:paraId="0AD09027">
      <w:pPr>
        <w:pStyle w:val="3"/>
        <w:rPr>
          <w:rFonts w:ascii="楷体" w:hAnsi="楷体" w:eastAsia="楷体" w:cs="楷体"/>
          <w:lang w:eastAsia="zh-CN"/>
        </w:rPr>
      </w:pPr>
      <w:r>
        <w:rPr>
          <w:rFonts w:hint="eastAsia" w:ascii="楷体" w:hAnsi="楷体" w:eastAsia="楷体" w:cs="楷体"/>
          <w:lang w:eastAsia="zh-CN"/>
        </w:rPr>
        <w:t>A: 衬底环节的成本差异核心不是来自原材料，核心是拼良率，BOM成本的具体情况及未来走势暂不明确。</w:t>
      </w:r>
    </w:p>
    <w:p w14:paraId="3B814CC3">
      <w:pPr>
        <w:pStyle w:val="3"/>
        <w:rPr>
          <w:rFonts w:ascii="楷体" w:hAnsi="楷体" w:eastAsia="楷体" w:cs="楷体"/>
          <w:lang w:eastAsia="zh-CN"/>
        </w:rPr>
      </w:pPr>
      <w:r>
        <w:rPr>
          <w:rFonts w:hint="eastAsia" w:ascii="楷体" w:hAnsi="楷体" w:eastAsia="楷体" w:cs="楷体"/>
          <w:b/>
          <w:bCs/>
          <w:lang w:eastAsia="zh-CN"/>
        </w:rPr>
        <w:t>Q： 磷化铟衬底生产除长晶炉外，切磨抛后道加工工艺的差距大吗，是否存在设备瓶颈？</w:t>
      </w:r>
    </w:p>
    <w:p w14:paraId="755A820C">
      <w:pPr>
        <w:pStyle w:val="3"/>
        <w:rPr>
          <w:rFonts w:ascii="楷体" w:hAnsi="楷体" w:eastAsia="楷体" w:cs="楷体"/>
          <w:lang w:eastAsia="zh-CN"/>
        </w:rPr>
      </w:pPr>
      <w:r>
        <w:rPr>
          <w:rFonts w:hint="eastAsia" w:ascii="楷体" w:hAnsi="楷体" w:eastAsia="楷体" w:cs="楷体"/>
          <w:lang w:eastAsia="zh-CN"/>
        </w:rPr>
        <w:t>A: 后道切磨抛环节确实存在瓶颈，不同厂商的工艺差距较大。设备是最重要的影响因素，目前海外的设备使用效果最好，但已经被全部订走，这也是行业扩产难的核心原因之一。</w:t>
      </w:r>
    </w:p>
    <w:p w14:paraId="3E7CB1F6">
      <w:pPr>
        <w:pStyle w:val="3"/>
        <w:rPr>
          <w:rFonts w:ascii="楷体" w:hAnsi="楷体" w:eastAsia="楷体" w:cs="楷体"/>
          <w:lang w:eastAsia="zh-CN"/>
        </w:rPr>
      </w:pPr>
      <w:r>
        <w:rPr>
          <w:rFonts w:hint="eastAsia" w:ascii="楷体" w:hAnsi="楷体" w:eastAsia="楷体" w:cs="楷体"/>
          <w:b/>
          <w:bCs/>
          <w:lang w:eastAsia="zh-CN"/>
        </w:rPr>
        <w:t>Q： 磷化铟衬底从3英寸向4英寸、6英寸升级的进展如何，明后年的出货结构会有什么变化？</w:t>
      </w:r>
    </w:p>
    <w:p w14:paraId="5862BAD7">
      <w:pPr>
        <w:pStyle w:val="3"/>
        <w:rPr>
          <w:rFonts w:ascii="楷体" w:hAnsi="楷体" w:eastAsia="楷体" w:cs="楷体"/>
          <w:lang w:eastAsia="zh-CN"/>
        </w:rPr>
      </w:pPr>
      <w:r>
        <w:rPr>
          <w:rFonts w:hint="eastAsia" w:ascii="楷体" w:hAnsi="楷体" w:eastAsia="楷体" w:cs="楷体"/>
          <w:lang w:eastAsia="zh-CN"/>
        </w:rPr>
        <w:t>A: 目前行业最成熟的是3英寸衬底，所有产线工艺都是按照3英寸调试的，若要从3英寸转向4英寸，需要对整条产线做工艺技改，调整外延、划片等环节的参数，会占用生产时间，在当前行业供需紧缺的阶段厂商没有动力调整，6英寸衬底的落地速度会更慢。2027年衬底出货会以3英寸为主，同时会有部分4英寸衬底出货。</w:t>
      </w:r>
    </w:p>
    <w:p w14:paraId="0D4C7A80">
      <w:pPr>
        <w:pStyle w:val="3"/>
        <w:rPr>
          <w:rFonts w:ascii="楷体" w:hAnsi="楷体" w:eastAsia="楷体" w:cs="楷体"/>
          <w:lang w:eastAsia="zh-CN"/>
        </w:rPr>
      </w:pPr>
      <w:r>
        <w:rPr>
          <w:rFonts w:hint="eastAsia" w:ascii="楷体" w:hAnsi="楷体" w:eastAsia="楷体" w:cs="楷体"/>
          <w:b/>
          <w:bCs/>
          <w:lang w:eastAsia="zh-CN"/>
        </w:rPr>
        <w:t>Q： 磷化铟衬底从3英寸向4英寸升级的技术难度大吗？</w:t>
      </w:r>
    </w:p>
    <w:p w14:paraId="313BA5FA">
      <w:pPr>
        <w:pStyle w:val="3"/>
        <w:rPr>
          <w:rFonts w:ascii="楷体" w:hAnsi="楷体" w:eastAsia="楷体" w:cs="楷体"/>
          <w:lang w:eastAsia="zh-CN"/>
        </w:rPr>
      </w:pPr>
      <w:r>
        <w:rPr>
          <w:rFonts w:hint="eastAsia" w:ascii="楷体" w:hAnsi="楷体" w:eastAsia="楷体" w:cs="楷体"/>
          <w:lang w:eastAsia="zh-CN"/>
        </w:rPr>
        <w:t>A: 3英寸转4英寸的技术难度有，但没有那么大，核心限制是当前行业供需紧张，厂商优先保障现有产能生产，没有空余时间进行技改。</w:t>
      </w:r>
    </w:p>
    <w:p w14:paraId="76295BAE">
      <w:pPr>
        <w:pStyle w:val="3"/>
        <w:rPr>
          <w:rFonts w:ascii="楷体" w:hAnsi="楷体" w:eastAsia="楷体" w:cs="楷体"/>
          <w:lang w:eastAsia="zh-CN"/>
        </w:rPr>
      </w:pPr>
      <w:r>
        <w:rPr>
          <w:rFonts w:hint="eastAsia" w:ascii="楷体" w:hAnsi="楷体" w:eastAsia="楷体" w:cs="楷体"/>
          <w:b/>
          <w:bCs/>
          <w:lang w:eastAsia="zh-CN"/>
        </w:rPr>
        <w:t>Q： 国内磷化铟衬底厂商是否有向上游延伸做外延的趋势？</w:t>
      </w:r>
    </w:p>
    <w:p w14:paraId="1D310587">
      <w:pPr>
        <w:pStyle w:val="3"/>
        <w:rPr>
          <w:rFonts w:ascii="楷体" w:hAnsi="楷体" w:eastAsia="楷体" w:cs="楷体"/>
          <w:lang w:eastAsia="zh-CN"/>
        </w:rPr>
      </w:pPr>
      <w:r>
        <w:rPr>
          <w:rFonts w:hint="eastAsia" w:ascii="楷体" w:hAnsi="楷体" w:eastAsia="楷体" w:cs="楷体"/>
          <w:lang w:eastAsia="zh-CN"/>
        </w:rPr>
        <w:t>A: 目前衬底厂商没有向延伸做外延的趋势，各厂商优先聚焦提升自身衬底环节的良率。</w:t>
      </w:r>
    </w:p>
    <w:p w14:paraId="12470ABD">
      <w:pPr>
        <w:pStyle w:val="23"/>
        <w:rPr>
          <w:rFonts w:ascii="楷体" w:hAnsi="楷体" w:eastAsia="楷体" w:cs="楷体"/>
          <w:lang w:eastAsia="zh-CN"/>
        </w:rPr>
      </w:pP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roman"/>
    <w:pitch w:val="default"/>
    <w:sig w:usb0="00000000" w:usb1="00000000" w:usb2="02000000" w:usb3="00000000" w:csb0="0000019F" w:csb1="00000000"/>
  </w:font>
  <w:font w:name="Consolas">
    <w:altName w:val="苹方-简"/>
    <w:panose1 w:val="020B0609020204030204"/>
    <w:charset w:val="00"/>
    <w:family w:val="modern"/>
    <w:pitch w:val="default"/>
    <w:sig w:usb0="00000000" w:usb1="00000000" w:usb2="00000001" w:usb3="00000000" w:csb0="0000019F"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 w:name="pingfang sc">
    <w:panose1 w:val="020B0400000000000000"/>
    <w:charset w:val="86"/>
    <w:family w:val="auto"/>
    <w:pitch w:val="default"/>
    <w:sig w:usb0="A00002FF" w:usb1="7ACFFDFB" w:usb2="00000017"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A991"/>
    <w:multiLevelType w:val="multilevel"/>
    <w:tmpl w:val="0000A991"/>
    <w:lvl w:ilvl="0" w:tentative="0">
      <w:start w:val="0"/>
      <w:numFmt w:val="bullet"/>
      <w:lvlText w:val="•"/>
      <w:lvlJc w:val="left"/>
      <w:pPr>
        <w:ind w:left="720" w:hanging="480"/>
      </w:pPr>
    </w:lvl>
    <w:lvl w:ilvl="1" w:tentative="0">
      <w:start w:val="0"/>
      <w:numFmt w:val="bullet"/>
      <w:lvlText w:val="–"/>
      <w:lvlJc w:val="left"/>
      <w:pPr>
        <w:ind w:left="1440" w:hanging="480"/>
      </w:pPr>
    </w:lvl>
    <w:lvl w:ilvl="2" w:tentative="0">
      <w:start w:val="0"/>
      <w:numFmt w:val="bullet"/>
      <w:lvlText w:val="•"/>
      <w:lvlJc w:val="left"/>
      <w:pPr>
        <w:ind w:left="2160" w:hanging="480"/>
      </w:pPr>
    </w:lvl>
    <w:lvl w:ilvl="3" w:tentative="0">
      <w:start w:val="0"/>
      <w:numFmt w:val="bullet"/>
      <w:lvlText w:val="–"/>
      <w:lvlJc w:val="left"/>
      <w:pPr>
        <w:ind w:left="2880" w:hanging="480"/>
      </w:pPr>
    </w:lvl>
    <w:lvl w:ilvl="4" w:tentative="0">
      <w:start w:val="0"/>
      <w:numFmt w:val="bullet"/>
      <w:lvlText w:val="•"/>
      <w:lvlJc w:val="left"/>
      <w:pPr>
        <w:ind w:left="3600" w:hanging="480"/>
      </w:pPr>
    </w:lvl>
    <w:lvl w:ilvl="5" w:tentative="0">
      <w:start w:val="0"/>
      <w:numFmt w:val="bullet"/>
      <w:lvlText w:val="–"/>
      <w:lvlJc w:val="left"/>
      <w:pPr>
        <w:ind w:left="4320" w:hanging="480"/>
      </w:pPr>
    </w:lvl>
    <w:lvl w:ilvl="6" w:tentative="0">
      <w:start w:val="0"/>
      <w:numFmt w:val="bullet"/>
      <w:lvlText w:val="•"/>
      <w:lvlJc w:val="left"/>
      <w:pPr>
        <w:ind w:left="5040" w:hanging="480"/>
      </w:pPr>
    </w:lvl>
    <w:lvl w:ilvl="7" w:tentative="0">
      <w:start w:val="0"/>
      <w:numFmt w:val="bullet"/>
      <w:lvlText w:val="–"/>
      <w:lvlJc w:val="left"/>
      <w:pPr>
        <w:ind w:left="5760" w:hanging="480"/>
      </w:pPr>
    </w:lvl>
    <w:lvl w:ilvl="8" w:tentative="0">
      <w:start w:val="0"/>
      <w:numFmt w:val="bullet"/>
      <w:lvlText w:val="•"/>
      <w:lvlJc w:val="left"/>
      <w:pPr>
        <w:ind w:left="648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NotTrackMoves/>
  <w:documentProtection w:enforcement="0"/>
  <w:defaultTabStop w:val="720"/>
  <w:drawingGridHorizontalSpacing w:val="360"/>
  <w:drawingGridVerticalSpacing w:val="36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233"/>
    <w:rsid w:val="00741301"/>
    <w:rsid w:val="00A57233"/>
    <w:rsid w:val="00B8531B"/>
    <w:rsid w:val="14250C9D"/>
    <w:rsid w:val="2ED120DB"/>
    <w:rsid w:val="64A15D0F"/>
    <w:rsid w:val="6E4351E9"/>
    <w:rsid w:val="EBFFE619"/>
  </w:rsids>
  <m:mathPr>
    <m:mathFont m:val="Cambria Math"/>
    <m:brkBin m:val="before"/>
    <m:brkBinSub m:val="--"/>
    <m:smallFrac m:val="0"/>
    <m:dispDef/>
    <m:lMargin m:val="0"/>
    <m:rMargin m:val="0"/>
    <m:defJc m:val="centerGroup"/>
    <m:wrapRight m:val="1"/>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HAnsi" w:cstheme="minorBidi"/>
      <w:sz w:val="24"/>
      <w:szCs w:val="24"/>
      <w:lang w:val="en-US" w:eastAsia="en-US" w:bidi="ar-SA"/>
    </w:rPr>
  </w:style>
  <w:style w:type="paragraph" w:styleId="2">
    <w:name w:val="heading 1"/>
    <w:basedOn w:val="1"/>
    <w:next w:val="3"/>
    <w:qFormat/>
    <w:uiPriority w:val="9"/>
    <w:pPr>
      <w:keepNext/>
      <w:keepLines/>
      <w:spacing w:before="480" w:after="0"/>
      <w:outlineLvl w:val="0"/>
    </w:pPr>
    <w:rPr>
      <w:rFonts w:asciiTheme="majorHAnsi" w:hAnsiTheme="majorHAnsi" w:eastAsiaTheme="majorEastAsia" w:cstheme="majorBidi"/>
      <w:b/>
      <w:bCs/>
      <w:color w:val="4F81BD" w:themeColor="accent1"/>
      <w:sz w:val="32"/>
      <w:szCs w:val="32"/>
      <w14:textFill>
        <w14:solidFill>
          <w14:schemeClr w14:val="accent1"/>
        </w14:solidFill>
      </w14:textFill>
    </w:rPr>
  </w:style>
  <w:style w:type="paragraph" w:styleId="4">
    <w:name w:val="heading 2"/>
    <w:basedOn w:val="1"/>
    <w:next w:val="3"/>
    <w:unhideWhenUsed/>
    <w:qFormat/>
    <w:uiPriority w:val="9"/>
    <w:pPr>
      <w:keepNext/>
      <w:keepLines/>
      <w:spacing w:before="200" w:after="0"/>
      <w:outlineLvl w:val="1"/>
    </w:pPr>
    <w:rPr>
      <w:rFonts w:asciiTheme="majorHAnsi" w:hAnsiTheme="majorHAnsi" w:eastAsiaTheme="majorEastAsia" w:cstheme="majorBidi"/>
      <w:b/>
      <w:bCs/>
      <w:color w:val="4F81BD" w:themeColor="accent1"/>
      <w:sz w:val="28"/>
      <w:szCs w:val="28"/>
      <w14:textFill>
        <w14:solidFill>
          <w14:schemeClr w14:val="accent1"/>
        </w14:solidFill>
      </w14:textFill>
    </w:rPr>
  </w:style>
  <w:style w:type="paragraph" w:styleId="5">
    <w:name w:val="heading 3"/>
    <w:basedOn w:val="1"/>
    <w:next w:val="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3"/>
    <w:unhideWhenUsed/>
    <w:qFormat/>
    <w:uiPriority w:val="9"/>
    <w:pPr>
      <w:keepNext/>
      <w:keepLines/>
      <w:spacing w:before="200" w:after="0"/>
      <w:outlineLvl w:val="3"/>
    </w:pPr>
    <w:rPr>
      <w:rFonts w:asciiTheme="majorHAnsi" w:hAnsiTheme="majorHAnsi" w:eastAsiaTheme="majorEastAsia" w:cstheme="majorBidi"/>
      <w:bCs/>
      <w:i/>
      <w:color w:val="4F81BD" w:themeColor="accent1"/>
      <w14:textFill>
        <w14:solidFill>
          <w14:schemeClr w14:val="accent1"/>
        </w14:solidFill>
      </w14:textFill>
    </w:rPr>
  </w:style>
  <w:style w:type="paragraph" w:styleId="7">
    <w:name w:val="heading 5"/>
    <w:basedOn w:val="1"/>
    <w:next w:val="3"/>
    <w:unhideWhenUsed/>
    <w:qFormat/>
    <w:uiPriority w:val="9"/>
    <w:pPr>
      <w:keepNext/>
      <w:keepLines/>
      <w:spacing w:before="200" w:after="0"/>
      <w:outlineLvl w:val="4"/>
    </w:pPr>
    <w:rPr>
      <w:rFonts w:asciiTheme="majorHAnsi" w:hAnsiTheme="majorHAnsi" w:eastAsiaTheme="majorEastAsia" w:cstheme="majorBidi"/>
      <w:iCs/>
      <w:color w:val="4F81BD" w:themeColor="accent1"/>
      <w14:textFill>
        <w14:solidFill>
          <w14:schemeClr w14:val="accent1"/>
        </w14:solidFill>
      </w14:textFill>
    </w:rPr>
  </w:style>
  <w:style w:type="paragraph" w:styleId="8">
    <w:name w:val="heading 6"/>
    <w:basedOn w:val="1"/>
    <w:next w:val="3"/>
    <w:unhideWhenUsed/>
    <w:qFormat/>
    <w:uiPriority w:val="9"/>
    <w:pPr>
      <w:keepNext/>
      <w:keepLines/>
      <w:spacing w:before="200" w:after="0"/>
      <w:outlineLvl w:val="5"/>
    </w:pPr>
    <w:rPr>
      <w:rFonts w:asciiTheme="majorHAnsi" w:hAnsiTheme="majorHAnsi" w:eastAsiaTheme="majorEastAsia" w:cstheme="majorBidi"/>
      <w:color w:val="4F81BD" w:themeColor="accent1"/>
      <w14:textFill>
        <w14:solidFill>
          <w14:schemeClr w14:val="accent1"/>
        </w14:solidFill>
      </w14:textFill>
    </w:rPr>
  </w:style>
  <w:style w:type="paragraph" w:styleId="9">
    <w:name w:val="heading 7"/>
    <w:basedOn w:val="1"/>
    <w:next w:val="3"/>
    <w:unhideWhenUsed/>
    <w:qFormat/>
    <w:uiPriority w:val="9"/>
    <w:pPr>
      <w:keepNext/>
      <w:keepLines/>
      <w:spacing w:before="200" w:after="0"/>
      <w:outlineLvl w:val="6"/>
    </w:pPr>
    <w:rPr>
      <w:rFonts w:asciiTheme="majorHAnsi" w:hAnsiTheme="majorHAnsi" w:eastAsiaTheme="majorEastAsia" w:cstheme="majorBidi"/>
      <w:color w:val="4F81BD" w:themeColor="accent1"/>
      <w14:textFill>
        <w14:solidFill>
          <w14:schemeClr w14:val="accent1"/>
        </w14:solidFill>
      </w14:textFill>
    </w:rPr>
  </w:style>
  <w:style w:type="paragraph" w:styleId="10">
    <w:name w:val="heading 8"/>
    <w:basedOn w:val="1"/>
    <w:next w:val="3"/>
    <w:unhideWhenUsed/>
    <w:qFormat/>
    <w:uiPriority w:val="9"/>
    <w:pPr>
      <w:keepNext/>
      <w:keepLines/>
      <w:spacing w:before="200" w:after="0"/>
      <w:outlineLvl w:val="7"/>
    </w:pPr>
    <w:rPr>
      <w:rFonts w:asciiTheme="majorHAnsi" w:hAnsiTheme="majorHAnsi" w:eastAsiaTheme="majorEastAsia" w:cstheme="majorBidi"/>
      <w:color w:val="4F81BD" w:themeColor="accent1"/>
      <w14:textFill>
        <w14:solidFill>
          <w14:schemeClr w14:val="accent1"/>
        </w14:solidFill>
      </w14:textFill>
    </w:rPr>
  </w:style>
  <w:style w:type="paragraph" w:styleId="11">
    <w:name w:val="heading 9"/>
    <w:basedOn w:val="1"/>
    <w:next w:val="3"/>
    <w:unhideWhenUsed/>
    <w:qFormat/>
    <w:uiPriority w:val="9"/>
    <w:pPr>
      <w:keepNext/>
      <w:keepLines/>
      <w:spacing w:before="200" w:after="0"/>
      <w:outlineLvl w:val="8"/>
    </w:pPr>
    <w:rPr>
      <w:rFonts w:asciiTheme="majorHAnsi" w:hAnsiTheme="majorHAnsi" w:eastAsiaTheme="majorEastAsia" w:cstheme="majorBidi"/>
      <w:color w:val="4F81BD" w:themeColor="accent1"/>
      <w14:textFill>
        <w14:solidFill>
          <w14:schemeClr w14:val="accent1"/>
        </w14:solidFill>
      </w14:textFill>
    </w:rPr>
  </w:style>
  <w:style w:type="character" w:default="1" w:styleId="19">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3">
    <w:name w:val="Body Text"/>
    <w:basedOn w:val="1"/>
    <w:link w:val="21"/>
    <w:qFormat/>
    <w:uiPriority w:val="0"/>
    <w:pPr>
      <w:spacing w:before="180" w:after="180"/>
    </w:pPr>
  </w:style>
  <w:style w:type="paragraph" w:styleId="12">
    <w:name w:val="caption"/>
    <w:basedOn w:val="1"/>
    <w:qFormat/>
    <w:uiPriority w:val="0"/>
    <w:pPr>
      <w:spacing w:after="120"/>
    </w:pPr>
    <w:rPr>
      <w:i/>
    </w:rPr>
  </w:style>
  <w:style w:type="paragraph" w:styleId="13">
    <w:name w:val="Block Text"/>
    <w:basedOn w:val="3"/>
    <w:next w:val="3"/>
    <w:unhideWhenUsed/>
    <w:qFormat/>
    <w:uiPriority w:val="9"/>
    <w:pPr>
      <w:spacing w:before="100" w:after="100"/>
      <w:ind w:left="480" w:right="480"/>
    </w:pPr>
  </w:style>
  <w:style w:type="paragraph" w:styleId="14">
    <w:name w:val="Date"/>
    <w:next w:val="3"/>
    <w:qFormat/>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styleId="15">
    <w:name w:val="Subtitle"/>
    <w:basedOn w:val="16"/>
    <w:next w:val="3"/>
    <w:qFormat/>
    <w:uiPriority w:val="0"/>
    <w:pPr>
      <w:spacing w:before="240"/>
    </w:pPr>
    <w:rPr>
      <w:sz w:val="30"/>
      <w:szCs w:val="30"/>
    </w:rPr>
  </w:style>
  <w:style w:type="paragraph" w:styleId="16">
    <w:name w:val="Title"/>
    <w:basedOn w:val="1"/>
    <w:next w:val="3"/>
    <w:qFormat/>
    <w:uiPriority w:val="0"/>
    <w:pPr>
      <w:keepNext/>
      <w:keepLines/>
      <w:spacing w:before="480" w:after="240"/>
      <w:jc w:val="center"/>
    </w:pPr>
    <w:rPr>
      <w:rFonts w:asciiTheme="majorHAnsi" w:hAnsiTheme="majorHAnsi" w:eastAsiaTheme="majorEastAsia" w:cstheme="majorBidi"/>
      <w:b/>
      <w:bCs/>
      <w:color w:val="345B8A" w:themeColor="accent1" w:themeShade="B5"/>
      <w:sz w:val="36"/>
      <w:szCs w:val="36"/>
    </w:rPr>
  </w:style>
  <w:style w:type="paragraph" w:styleId="17">
    <w:name w:val="footnote text"/>
    <w:basedOn w:val="1"/>
    <w:unhideWhenUsed/>
    <w:qFormat/>
    <w:uiPriority w:val="9"/>
  </w:style>
  <w:style w:type="character" w:styleId="20">
    <w:name w:val="Hyperlink"/>
    <w:basedOn w:val="21"/>
    <w:qFormat/>
    <w:uiPriority w:val="0"/>
    <w:rPr>
      <w:color w:val="4F81BD" w:themeColor="accent1"/>
      <w14:textFill>
        <w14:solidFill>
          <w14:schemeClr w14:val="accent1"/>
        </w14:solidFill>
      </w14:textFill>
    </w:rPr>
  </w:style>
  <w:style w:type="character" w:customStyle="1" w:styleId="21">
    <w:name w:val="正文文本 Char"/>
    <w:basedOn w:val="19"/>
    <w:link w:val="3"/>
    <w:qFormat/>
    <w:uiPriority w:val="0"/>
  </w:style>
  <w:style w:type="character" w:styleId="22">
    <w:name w:val="footnote reference"/>
    <w:basedOn w:val="21"/>
    <w:qFormat/>
    <w:uiPriority w:val="0"/>
    <w:rPr>
      <w:vertAlign w:val="superscript"/>
    </w:rPr>
  </w:style>
  <w:style w:type="paragraph" w:customStyle="1" w:styleId="23">
    <w:name w:val="First Paragraph"/>
    <w:basedOn w:val="3"/>
    <w:next w:val="3"/>
    <w:qFormat/>
    <w:uiPriority w:val="0"/>
  </w:style>
  <w:style w:type="paragraph" w:customStyle="1" w:styleId="24">
    <w:name w:val="Compact"/>
    <w:basedOn w:val="3"/>
    <w:qFormat/>
    <w:uiPriority w:val="0"/>
    <w:pPr>
      <w:spacing w:before="36" w:after="36"/>
    </w:pPr>
  </w:style>
  <w:style w:type="paragraph" w:customStyle="1" w:styleId="25">
    <w:name w:val="Author"/>
    <w:next w:val="3"/>
    <w:qFormat/>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customStyle="1" w:styleId="26">
    <w:name w:val="Abstract"/>
    <w:basedOn w:val="1"/>
    <w:next w:val="3"/>
    <w:qFormat/>
    <w:uiPriority w:val="0"/>
    <w:pPr>
      <w:keepNext/>
      <w:keepLines/>
      <w:spacing w:before="300" w:after="300"/>
    </w:pPr>
    <w:rPr>
      <w:sz w:val="20"/>
      <w:szCs w:val="20"/>
    </w:rPr>
  </w:style>
  <w:style w:type="paragraph" w:customStyle="1" w:styleId="27">
    <w:name w:val="书目1"/>
    <w:basedOn w:val="1"/>
    <w:qFormat/>
    <w:uiPriority w:val="0"/>
  </w:style>
  <w:style w:type="table" w:customStyle="1" w:styleId="28">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29">
    <w:name w:val="Definition Term"/>
    <w:basedOn w:val="1"/>
    <w:next w:val="30"/>
    <w:qFormat/>
    <w:uiPriority w:val="0"/>
    <w:pPr>
      <w:keepNext/>
      <w:keepLines/>
      <w:spacing w:after="0"/>
    </w:pPr>
    <w:rPr>
      <w:b/>
    </w:rPr>
  </w:style>
  <w:style w:type="paragraph" w:customStyle="1" w:styleId="30">
    <w:name w:val="Definition"/>
    <w:basedOn w:val="1"/>
    <w:qFormat/>
    <w:uiPriority w:val="0"/>
  </w:style>
  <w:style w:type="paragraph" w:customStyle="1" w:styleId="31">
    <w:name w:val="Table Caption"/>
    <w:basedOn w:val="12"/>
    <w:qFormat/>
    <w:uiPriority w:val="0"/>
    <w:pPr>
      <w:keepNext/>
    </w:pPr>
  </w:style>
  <w:style w:type="paragraph" w:customStyle="1" w:styleId="32">
    <w:name w:val="Image Caption"/>
    <w:basedOn w:val="12"/>
    <w:qFormat/>
    <w:uiPriority w:val="0"/>
  </w:style>
  <w:style w:type="paragraph" w:customStyle="1" w:styleId="33">
    <w:name w:val="Figure"/>
    <w:basedOn w:val="1"/>
    <w:qFormat/>
    <w:uiPriority w:val="0"/>
  </w:style>
  <w:style w:type="paragraph" w:customStyle="1" w:styleId="34">
    <w:name w:val="Captioned Figure"/>
    <w:basedOn w:val="33"/>
    <w:qFormat/>
    <w:uiPriority w:val="0"/>
    <w:pPr>
      <w:keepNext/>
    </w:pPr>
  </w:style>
  <w:style w:type="character" w:customStyle="1" w:styleId="35">
    <w:name w:val="Verbatim Char"/>
    <w:basedOn w:val="21"/>
    <w:link w:val="36"/>
    <w:qFormat/>
    <w:uiPriority w:val="0"/>
    <w:rPr>
      <w:rFonts w:ascii="Consolas" w:hAnsi="Consolas"/>
      <w:sz w:val="22"/>
    </w:rPr>
  </w:style>
  <w:style w:type="paragraph" w:customStyle="1" w:styleId="36">
    <w:name w:val="Source Code"/>
    <w:basedOn w:val="1"/>
    <w:link w:val="35"/>
    <w:qFormat/>
    <w:uiPriority w:val="0"/>
    <w:pPr>
      <w:wordWrap w:val="0"/>
    </w:pPr>
  </w:style>
  <w:style w:type="character" w:customStyle="1" w:styleId="37">
    <w:name w:val="Section Number"/>
    <w:basedOn w:val="21"/>
    <w:qFormat/>
    <w:uiPriority w:val="0"/>
  </w:style>
  <w:style w:type="paragraph" w:customStyle="1" w:styleId="38">
    <w:name w:val="TOC 标题1"/>
    <w:basedOn w:val="2"/>
    <w:next w:val="3"/>
    <w:unhideWhenUsed/>
    <w:qFormat/>
    <w:uiPriority w:val="39"/>
    <w:pPr>
      <w:spacing w:before="240" w:line="259" w:lineRule="auto"/>
      <w:outlineLvl w:val="9"/>
    </w:pPr>
    <w:rPr>
      <w:b w:val="0"/>
      <w:bCs w:val="0"/>
      <w:color w:val="376092" w:themeColor="accent1" w:themeShade="BF"/>
    </w:rPr>
  </w:style>
  <w:style w:type="character" w:customStyle="1" w:styleId="39">
    <w:name w:val="KeywordTok"/>
    <w:basedOn w:val="35"/>
    <w:qFormat/>
    <w:uiPriority w:val="0"/>
    <w:rPr>
      <w:rFonts w:ascii="Consolas" w:hAnsi="Consolas"/>
      <w:b/>
      <w:color w:val="007020"/>
      <w:sz w:val="22"/>
    </w:rPr>
  </w:style>
  <w:style w:type="character" w:customStyle="1" w:styleId="40">
    <w:name w:val="DataTypeTok"/>
    <w:basedOn w:val="35"/>
    <w:qFormat/>
    <w:uiPriority w:val="0"/>
    <w:rPr>
      <w:rFonts w:ascii="Consolas" w:hAnsi="Consolas"/>
      <w:color w:val="902000"/>
      <w:sz w:val="22"/>
    </w:rPr>
  </w:style>
  <w:style w:type="character" w:customStyle="1" w:styleId="41">
    <w:name w:val="DecValTok"/>
    <w:basedOn w:val="35"/>
    <w:qFormat/>
    <w:uiPriority w:val="0"/>
    <w:rPr>
      <w:rFonts w:ascii="Consolas" w:hAnsi="Consolas"/>
      <w:color w:val="40A070"/>
      <w:sz w:val="22"/>
    </w:rPr>
  </w:style>
  <w:style w:type="character" w:customStyle="1" w:styleId="42">
    <w:name w:val="BaseNTok"/>
    <w:basedOn w:val="35"/>
    <w:qFormat/>
    <w:uiPriority w:val="0"/>
    <w:rPr>
      <w:rFonts w:ascii="Consolas" w:hAnsi="Consolas"/>
      <w:color w:val="40A070"/>
      <w:sz w:val="22"/>
    </w:rPr>
  </w:style>
  <w:style w:type="character" w:customStyle="1" w:styleId="43">
    <w:name w:val="FloatTok"/>
    <w:basedOn w:val="35"/>
    <w:qFormat/>
    <w:uiPriority w:val="0"/>
    <w:rPr>
      <w:rFonts w:ascii="Consolas" w:hAnsi="Consolas"/>
      <w:color w:val="40A070"/>
      <w:sz w:val="22"/>
    </w:rPr>
  </w:style>
  <w:style w:type="character" w:customStyle="1" w:styleId="44">
    <w:name w:val="ConstantTok"/>
    <w:basedOn w:val="35"/>
    <w:qFormat/>
    <w:uiPriority w:val="0"/>
    <w:rPr>
      <w:rFonts w:ascii="Consolas" w:hAnsi="Consolas"/>
      <w:color w:val="880000"/>
      <w:sz w:val="22"/>
    </w:rPr>
  </w:style>
  <w:style w:type="character" w:customStyle="1" w:styleId="45">
    <w:name w:val="CharTok"/>
    <w:basedOn w:val="35"/>
    <w:qFormat/>
    <w:uiPriority w:val="0"/>
    <w:rPr>
      <w:rFonts w:ascii="Consolas" w:hAnsi="Consolas"/>
      <w:color w:val="4070A0"/>
      <w:sz w:val="22"/>
    </w:rPr>
  </w:style>
  <w:style w:type="character" w:customStyle="1" w:styleId="46">
    <w:name w:val="SpecialCharTok"/>
    <w:basedOn w:val="35"/>
    <w:qFormat/>
    <w:uiPriority w:val="0"/>
    <w:rPr>
      <w:rFonts w:ascii="Consolas" w:hAnsi="Consolas"/>
      <w:color w:val="4070A0"/>
      <w:sz w:val="22"/>
    </w:rPr>
  </w:style>
  <w:style w:type="character" w:customStyle="1" w:styleId="47">
    <w:name w:val="StringTok"/>
    <w:basedOn w:val="35"/>
    <w:qFormat/>
    <w:uiPriority w:val="0"/>
    <w:rPr>
      <w:rFonts w:ascii="Consolas" w:hAnsi="Consolas"/>
      <w:color w:val="4070A0"/>
      <w:sz w:val="22"/>
    </w:rPr>
  </w:style>
  <w:style w:type="character" w:customStyle="1" w:styleId="48">
    <w:name w:val="VerbatimStringTok"/>
    <w:basedOn w:val="35"/>
    <w:qFormat/>
    <w:uiPriority w:val="0"/>
    <w:rPr>
      <w:rFonts w:ascii="Consolas" w:hAnsi="Consolas"/>
      <w:color w:val="4070A0"/>
      <w:sz w:val="22"/>
    </w:rPr>
  </w:style>
  <w:style w:type="character" w:customStyle="1" w:styleId="49">
    <w:name w:val="SpecialStringTok"/>
    <w:basedOn w:val="35"/>
    <w:qFormat/>
    <w:uiPriority w:val="0"/>
    <w:rPr>
      <w:rFonts w:ascii="Consolas" w:hAnsi="Consolas"/>
      <w:color w:val="BB6688"/>
      <w:sz w:val="22"/>
    </w:rPr>
  </w:style>
  <w:style w:type="character" w:customStyle="1" w:styleId="50">
    <w:name w:val="ImportTok"/>
    <w:basedOn w:val="35"/>
    <w:qFormat/>
    <w:uiPriority w:val="0"/>
    <w:rPr>
      <w:rFonts w:ascii="Consolas" w:hAnsi="Consolas"/>
      <w:b/>
      <w:color w:val="008000"/>
      <w:sz w:val="22"/>
    </w:rPr>
  </w:style>
  <w:style w:type="character" w:customStyle="1" w:styleId="51">
    <w:name w:val="CommentTok"/>
    <w:basedOn w:val="35"/>
    <w:qFormat/>
    <w:uiPriority w:val="0"/>
    <w:rPr>
      <w:rFonts w:ascii="Consolas" w:hAnsi="Consolas"/>
      <w:i/>
      <w:color w:val="60A0B0"/>
      <w:sz w:val="22"/>
    </w:rPr>
  </w:style>
  <w:style w:type="character" w:customStyle="1" w:styleId="52">
    <w:name w:val="DocumentationTok"/>
    <w:basedOn w:val="35"/>
    <w:qFormat/>
    <w:uiPriority w:val="0"/>
    <w:rPr>
      <w:rFonts w:ascii="Consolas" w:hAnsi="Consolas"/>
      <w:i/>
      <w:color w:val="BA2121"/>
      <w:sz w:val="22"/>
    </w:rPr>
  </w:style>
  <w:style w:type="character" w:customStyle="1" w:styleId="53">
    <w:name w:val="AnnotationTok"/>
    <w:basedOn w:val="35"/>
    <w:qFormat/>
    <w:uiPriority w:val="0"/>
    <w:rPr>
      <w:rFonts w:ascii="Consolas" w:hAnsi="Consolas"/>
      <w:b/>
      <w:i/>
      <w:color w:val="60A0B0"/>
      <w:sz w:val="22"/>
    </w:rPr>
  </w:style>
  <w:style w:type="character" w:customStyle="1" w:styleId="54">
    <w:name w:val="CommentVarTok"/>
    <w:basedOn w:val="35"/>
    <w:qFormat/>
    <w:uiPriority w:val="0"/>
    <w:rPr>
      <w:rFonts w:ascii="Consolas" w:hAnsi="Consolas"/>
      <w:b/>
      <w:i/>
      <w:color w:val="60A0B0"/>
      <w:sz w:val="22"/>
    </w:rPr>
  </w:style>
  <w:style w:type="character" w:customStyle="1" w:styleId="55">
    <w:name w:val="OtherTok"/>
    <w:basedOn w:val="35"/>
    <w:qFormat/>
    <w:uiPriority w:val="0"/>
    <w:rPr>
      <w:rFonts w:ascii="Consolas" w:hAnsi="Consolas"/>
      <w:color w:val="007020"/>
      <w:sz w:val="22"/>
    </w:rPr>
  </w:style>
  <w:style w:type="character" w:customStyle="1" w:styleId="56">
    <w:name w:val="FunctionTok"/>
    <w:basedOn w:val="35"/>
    <w:qFormat/>
    <w:uiPriority w:val="0"/>
    <w:rPr>
      <w:rFonts w:ascii="Consolas" w:hAnsi="Consolas"/>
      <w:color w:val="06287E"/>
      <w:sz w:val="22"/>
    </w:rPr>
  </w:style>
  <w:style w:type="character" w:customStyle="1" w:styleId="57">
    <w:name w:val="VariableTok"/>
    <w:basedOn w:val="35"/>
    <w:qFormat/>
    <w:uiPriority w:val="0"/>
    <w:rPr>
      <w:rFonts w:ascii="Consolas" w:hAnsi="Consolas"/>
      <w:color w:val="19177C"/>
      <w:sz w:val="22"/>
    </w:rPr>
  </w:style>
  <w:style w:type="character" w:customStyle="1" w:styleId="58">
    <w:name w:val="ControlFlowTok"/>
    <w:basedOn w:val="35"/>
    <w:qFormat/>
    <w:uiPriority w:val="0"/>
    <w:rPr>
      <w:rFonts w:ascii="Consolas" w:hAnsi="Consolas"/>
      <w:b/>
      <w:color w:val="007020"/>
      <w:sz w:val="22"/>
    </w:rPr>
  </w:style>
  <w:style w:type="character" w:customStyle="1" w:styleId="59">
    <w:name w:val="OperatorTok"/>
    <w:basedOn w:val="35"/>
    <w:qFormat/>
    <w:uiPriority w:val="0"/>
    <w:rPr>
      <w:rFonts w:ascii="Consolas" w:hAnsi="Consolas"/>
      <w:color w:val="666666"/>
      <w:sz w:val="22"/>
    </w:rPr>
  </w:style>
  <w:style w:type="character" w:customStyle="1" w:styleId="60">
    <w:name w:val="BuiltInTok"/>
    <w:basedOn w:val="35"/>
    <w:qFormat/>
    <w:uiPriority w:val="0"/>
    <w:rPr>
      <w:rFonts w:ascii="Consolas" w:hAnsi="Consolas"/>
      <w:color w:val="008000"/>
      <w:sz w:val="22"/>
    </w:rPr>
  </w:style>
  <w:style w:type="character" w:customStyle="1" w:styleId="61">
    <w:name w:val="ExtensionTok"/>
    <w:basedOn w:val="35"/>
    <w:qFormat/>
    <w:uiPriority w:val="0"/>
    <w:rPr>
      <w:rFonts w:ascii="Consolas" w:hAnsi="Consolas"/>
      <w:sz w:val="22"/>
    </w:rPr>
  </w:style>
  <w:style w:type="character" w:customStyle="1" w:styleId="62">
    <w:name w:val="PreprocessorTok"/>
    <w:basedOn w:val="35"/>
    <w:qFormat/>
    <w:uiPriority w:val="0"/>
    <w:rPr>
      <w:rFonts w:ascii="Consolas" w:hAnsi="Consolas"/>
      <w:color w:val="BC7A00"/>
      <w:sz w:val="22"/>
    </w:rPr>
  </w:style>
  <w:style w:type="character" w:customStyle="1" w:styleId="63">
    <w:name w:val="AttributeTok"/>
    <w:basedOn w:val="35"/>
    <w:qFormat/>
    <w:uiPriority w:val="0"/>
    <w:rPr>
      <w:rFonts w:ascii="Consolas" w:hAnsi="Consolas"/>
      <w:color w:val="7D9029"/>
      <w:sz w:val="22"/>
    </w:rPr>
  </w:style>
  <w:style w:type="character" w:customStyle="1" w:styleId="64">
    <w:name w:val="RegionMarkerTok"/>
    <w:basedOn w:val="35"/>
    <w:qFormat/>
    <w:uiPriority w:val="0"/>
    <w:rPr>
      <w:rFonts w:ascii="Consolas" w:hAnsi="Consolas"/>
      <w:sz w:val="22"/>
    </w:rPr>
  </w:style>
  <w:style w:type="character" w:customStyle="1" w:styleId="65">
    <w:name w:val="InformationTok"/>
    <w:basedOn w:val="35"/>
    <w:qFormat/>
    <w:uiPriority w:val="0"/>
    <w:rPr>
      <w:rFonts w:ascii="Consolas" w:hAnsi="Consolas"/>
      <w:b/>
      <w:i/>
      <w:color w:val="60A0B0"/>
      <w:sz w:val="22"/>
    </w:rPr>
  </w:style>
  <w:style w:type="character" w:customStyle="1" w:styleId="66">
    <w:name w:val="WarningTok"/>
    <w:basedOn w:val="35"/>
    <w:qFormat/>
    <w:uiPriority w:val="0"/>
    <w:rPr>
      <w:rFonts w:ascii="Consolas" w:hAnsi="Consolas"/>
      <w:b/>
      <w:i/>
      <w:color w:val="60A0B0"/>
      <w:sz w:val="22"/>
    </w:rPr>
  </w:style>
  <w:style w:type="character" w:customStyle="1" w:styleId="67">
    <w:name w:val="AlertTok"/>
    <w:basedOn w:val="35"/>
    <w:qFormat/>
    <w:uiPriority w:val="0"/>
    <w:rPr>
      <w:rFonts w:ascii="Consolas" w:hAnsi="Consolas"/>
      <w:b/>
      <w:color w:val="FF0000"/>
      <w:sz w:val="22"/>
    </w:rPr>
  </w:style>
  <w:style w:type="character" w:customStyle="1" w:styleId="68">
    <w:name w:val="ErrorTok"/>
    <w:basedOn w:val="35"/>
    <w:qFormat/>
    <w:uiPriority w:val="0"/>
    <w:rPr>
      <w:rFonts w:ascii="Consolas" w:hAnsi="Consolas"/>
      <w:b/>
      <w:color w:val="FF0000"/>
      <w:sz w:val="22"/>
    </w:rPr>
  </w:style>
  <w:style w:type="character" w:customStyle="1" w:styleId="69">
    <w:name w:val="NormalTok"/>
    <w:basedOn w:val="35"/>
    <w:qFormat/>
    <w:uiPriority w:val="0"/>
    <w:rPr>
      <w:rFonts w:ascii="Consolas" w:hAnsi="Consolas"/>
      <w:sz w:val="22"/>
    </w:rPr>
  </w:style>
  <w:style w:type="paragraph" w:customStyle="1" w:styleId="70">
    <w:name w:val="p1"/>
    <w:basedOn w:val="1"/>
    <w:uiPriority w:val="0"/>
    <w:pPr>
      <w:spacing w:before="0" w:beforeAutospacing="0" w:after="0" w:afterAutospacing="0"/>
      <w:ind w:left="0" w:right="0"/>
      <w:jc w:val="left"/>
    </w:pPr>
    <w:rPr>
      <w:rFonts w:ascii="Helvetica Neue" w:hAnsi="Helvetica Neue" w:eastAsia="Helvetica Neue" w:cs="Helvetica Neue"/>
      <w:kern w:val="0"/>
      <w:sz w:val="19"/>
      <w:szCs w:val="19"/>
      <w:lang w:val="en-US" w:eastAsia="zh-CN" w:bidi="ar"/>
    </w:rPr>
  </w:style>
  <w:style w:type="character" w:customStyle="1" w:styleId="71">
    <w:name w:val="s1"/>
    <w:basedOn w:val="19"/>
    <w:uiPriority w:val="0"/>
    <w:rPr>
      <w:rFonts w:ascii="pingfang sc" w:hAnsi="pingfang sc" w:eastAsia="pingfang sc" w:cs="pingfang sc"/>
      <w:sz w:val="19"/>
      <w:szCs w:val="19"/>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8</Pages>
  <Words>3490</Words>
  <Characters>3771</Characters>
  <Lines>145</Lines>
  <Paragraphs>121</Paragraphs>
  <TotalTime>40</TotalTime>
  <ScaleCrop>false</ScaleCrop>
  <LinksUpToDate>false</LinksUpToDate>
  <CharactersWithSpaces>7140</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2026-08-09T16:52:00Z</dcterms:created>
  <dc:creator>Windows</dc:creator>
  <cp:lastModifiedBy>龙</cp:lastModifiedBy>
  <dcterms:modified xsi:type="dcterms:W3CDTF">2026-08-09T19:35:51Z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CB7C8BEDDCC14FCBBDC356D2C6766F24_13</vt:lpwstr>
  </property>
  <property fmtid="{D5CDD505-2E9C-101B-9397-08002B2CF9AE}" pid="4" name="KSOTemplateDocerSaveRecord">
    <vt:lpwstr>eyJoZGlkIjoiMTliMTI1N2U1N2ViMWFmOGJmOWUzMWM2ZDg1ZGQyZDkiLCJ1c2VySWQiOiIzNjE4OTMzMzQifQ==</vt:lpwstr>
  </property>
</Properties>
</file>