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弘则市场漫谈 市场主线轮转 - CXO 还有多少空间 260809_导读</w:t>
      </w:r>
    </w:p>
    <w:p>
      <w:pPr>
        <w:pStyle w:val="a0"/>
        <w:jc w:val="center"/>
      </w:pPr>
      <w:r>
        <w:t>2026年08月09日 22:26</w:t>
      </w:r>
    </w:p>
    <w:p>
      <w:pPr>
        <w:pStyle w:val="a7"/>
      </w:pPr>
      <w:r>
        <w:t>关键词</w:t>
      </w:r>
    </w:p>
    <w:p>
      <w:r>
        <w:rPr>
          <w:rFonts w:ascii="等线(中文正文)" w:hAnsi="等线(中文正文)" w:cs="等线(中文正文)" w:eastAsia="等线(中文正文)"/>
          <w:b w:val="false"/>
          <w:i w:val="false"/>
          <w:sz w:val="20"/>
        </w:rPr>
        <w:t xml:space="preserve">C叉O 创新药 药明康德 AI制药 早研需求 产能利用率 地缘政治 专利悬崖 现金流 双抗ADC 平台合作 小分子生产 CXO 早研 药效 独立实验 临床 康德 小分子 ADC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周日漫谈聚焦医药板块，回顾了七月初科技板块调整时医药领域被忽视的情况，指出市场当时对医药的认可度有限。随后，讨论转向近期医药板块受到市场关注增加，特别提及创新药CRO、BD规模及预期外发展方向。分析了药明康德业绩超预期及其对行业的正面影响，强调了小分子生产领域增长与AI制药带来的早研需求上升。讨论了地缘政治对药明系公司的影响、估值重估可能性及应对市场对医药行业预期的策略。最后，强调了CRO/CDMO领域持续增长潜力及投资策略考量，整体呈现医药板块当前市场状态与未来展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C叉O与创新药市场关注度提升及资金效应分析</w:t>
      </w:r>
    </w:p>
    <w:p>
      <w:r>
        <w:rPr>
          <w:rFonts w:ascii="等线(中文正文)" w:hAnsi="等线(中文正文)" w:cs="等线(中文正文)" w:eastAsia="等线(中文正文)"/>
          <w:b w:val="false"/>
          <w:i w:val="false"/>
          <w:sz w:val="20"/>
        </w:rPr>
        <w:t>对话讨论了C叉O和创新药板块近期市场关注度的提升，特别是C叉O因业绩和长逻辑得到更多关注。尽管科技板块调整带来了资金分流，但C叉O的正向催化是核心驱动因素。市场对C叉O的认可度在7月和8月显著增加，但创新药仍面临较高投资门槛。整体上，资金效应和行业基本面改善共同推动了C叉O板块的持续关注和资金流入。</w:t>
      </w:r>
    </w:p>
    <w:p>
      <w:r>
        <w:rPr>
          <w:rFonts w:ascii="等线(中文正文)" w:hAnsi="等线(中文正文)" w:cs="等线(中文正文)" w:eastAsia="等线(中文正文)"/>
          <w:b w:val="false"/>
          <w:i w:val="false"/>
          <w:sz w:val="20"/>
        </w:rPr>
        <w:t/>
      </w:r>
    </w:p>
    <w:p>
      <w:pPr>
        <w:pStyle w:val="ab"/>
        <w:numPr>
          <w:numId w:val="2"/>
        </w:numPr>
      </w:pPr>
      <w:r>
        <w:t>05:36 药明康德业绩超预期与AI制药影响行业</w:t>
      </w:r>
    </w:p>
    <w:p>
      <w:r>
        <w:rPr>
          <w:rFonts w:ascii="等线(中文正文)" w:hAnsi="等线(中文正文)" w:cs="等线(中文正文)" w:eastAsia="等线(中文正文)"/>
          <w:b w:val="false"/>
          <w:i w:val="false"/>
          <w:sz w:val="20"/>
        </w:rPr>
        <w:t>药明康德Q2业绩超预期，尤其是非减肥药相关小分子生产，反映全球供应链竞争力与研发新周期。AI制药增强早研需求，市场乐观解读。地缘政治影响有限，公司公告上诉1260H名单，提振市场信心。</w:t>
      </w:r>
    </w:p>
    <w:p>
      <w:r>
        <w:rPr>
          <w:rFonts w:ascii="等线(中文正文)" w:hAnsi="等线(中文正文)" w:cs="等线(中文正文)" w:eastAsia="等线(中文正文)"/>
          <w:b w:val="false"/>
          <w:i w:val="false"/>
          <w:sz w:val="20"/>
        </w:rPr>
        <w:t/>
      </w:r>
    </w:p>
    <w:p>
      <w:pPr>
        <w:pStyle w:val="ab"/>
        <w:numPr>
          <w:numId w:val="3"/>
        </w:numPr>
      </w:pPr>
      <w:r>
        <w:t>10:41 C超行业景气度分析与未来展望</w:t>
      </w:r>
    </w:p>
    <w:p>
      <w:r>
        <w:rPr>
          <w:rFonts w:ascii="等线(中文正文)" w:hAnsi="等线(中文正文)" w:cs="等线(中文正文)" w:eastAsia="等线(中文正文)"/>
          <w:b w:val="false"/>
          <w:i w:val="false"/>
          <w:sz w:val="20"/>
        </w:rPr>
        <w:t>对话围绕C超行业当前的景气度展开，讨论了产能利用率紧张、价格变动等基本面因素，以及早研和生产制造两端的订单情况。分析了专利悬崖、技术迭代速度、海外药企现金流等对行业未来影响，并从周期性和动力角度评估了C超行业的发展前景。强调了不同细分环节的领先指标和景气度跟踪指标在分析中的重要性，对未来持续放量和关注度高位进行了评估。</w:t>
      </w:r>
    </w:p>
    <w:p>
      <w:r>
        <w:rPr>
          <w:rFonts w:ascii="等线(中文正文)" w:hAnsi="等线(中文正文)" w:cs="等线(中文正文)" w:eastAsia="等线(中文正文)"/>
          <w:b w:val="false"/>
          <w:i w:val="false"/>
          <w:sz w:val="20"/>
        </w:rPr>
        <w:t/>
      </w:r>
    </w:p>
    <w:p>
      <w:pPr>
        <w:pStyle w:val="ab"/>
        <w:numPr>
          <w:numId w:val="4"/>
        </w:numPr>
      </w:pPr>
      <w:r>
        <w:t>13:47 早研领域：AI制药与全球需求增长推动行业景气度</w:t>
      </w:r>
    </w:p>
    <w:p>
      <w:r>
        <w:rPr>
          <w:rFonts w:ascii="等线(中文正文)" w:hAnsi="等线(中文正文)" w:cs="等线(中文正文)" w:eastAsia="等线(中文正文)"/>
          <w:b w:val="false"/>
          <w:i w:val="false"/>
          <w:sz w:val="20"/>
        </w:rPr>
        <w:t>对话深入探讨了药物研发早期阶段，包括分子设计、动物实验及临床前研究等环节，重点分析了AI制药对早研需求的显著提升，以及全球范围内，特别是海外早研需求向中国转移的趋势。指出MNC加大早研投入、AI技术广泛应用、以及海外大药企与国内企业平台合作等，共同推动早研领域景气度高涨。同时，提及早研订单执行周期短，市场前景乐观。</w:t>
      </w:r>
    </w:p>
    <w:p>
      <w:r>
        <w:rPr>
          <w:rFonts w:ascii="等线(中文正文)" w:hAnsi="等线(中文正文)" w:cs="等线(中文正文)" w:eastAsia="等线(中文正文)"/>
          <w:b w:val="false"/>
          <w:i w:val="false"/>
          <w:sz w:val="20"/>
        </w:rPr>
        <w:t/>
      </w:r>
    </w:p>
    <w:p>
      <w:pPr>
        <w:pStyle w:val="ab"/>
        <w:numPr>
          <w:numId w:val="5"/>
        </w:numPr>
      </w:pPr>
      <w:r>
        <w:t>19:35 生物医药研发与生产环节的市场分析</w:t>
      </w:r>
    </w:p>
    <w:p>
      <w:r>
        <w:rPr>
          <w:rFonts w:ascii="等线(中文正文)" w:hAnsi="等线(中文正文)" w:cs="等线(中文正文)" w:eastAsia="等线(中文正文)"/>
          <w:b w:val="false"/>
          <w:i w:val="false"/>
          <w:sz w:val="20"/>
        </w:rPr>
        <w:t>讨论了生物医药研发过程中从药效检测到临床试验各阶段的特点，包括猴子价格和服务费用的比较，产能利用率的重要性，以及外包比例对临床订单增速的影响。分析了市场需求从药效检测到独立实验再到临床试验的传导机制，并预测了未来增长趋势。</w:t>
      </w:r>
    </w:p>
    <w:p>
      <w:r>
        <w:rPr>
          <w:rFonts w:ascii="等线(中文正文)" w:hAnsi="等线(中文正文)" w:cs="等线(中文正文)" w:eastAsia="等线(中文正文)"/>
          <w:b w:val="false"/>
          <w:i w:val="false"/>
          <w:sz w:val="20"/>
        </w:rPr>
        <w:t/>
      </w:r>
    </w:p>
    <w:p>
      <w:pPr>
        <w:pStyle w:val="ab"/>
        <w:numPr>
          <w:numId w:val="6"/>
        </w:numPr>
      </w:pPr>
      <w:r>
        <w:t>24:15 医药行业新产品周期与CDMO企业业绩展望</w:t>
      </w:r>
    </w:p>
    <w:p>
      <w:r>
        <w:rPr>
          <w:rFonts w:ascii="等线(中文正文)" w:hAnsi="等线(中文正文)" w:cs="等线(中文正文)" w:eastAsia="等线(中文正文)"/>
          <w:b w:val="false"/>
          <w:i w:val="false"/>
          <w:sz w:val="20"/>
        </w:rPr>
        <w:t>对话讨论了医药行业，特别是小分子CDMO领域如药明康德、凯莱英等公司的业绩表现和未来增长潜力，指出新技术如分子胶等开启了新的产品周期。强调了产能利用率、订单情况及产品周期对业绩的正面影响，同时提及生物药CDMO和ADC领域的新周期。整体呈现乐观的市场预期，基于订单跟踪和投资价格等指标。</w:t>
      </w:r>
    </w:p>
    <w:p>
      <w:r>
        <w:rPr>
          <w:rFonts w:ascii="等线(中文正文)" w:hAnsi="等线(中文正文)" w:cs="等线(中文正文)" w:eastAsia="等线(中文正文)"/>
          <w:b w:val="false"/>
          <w:i w:val="false"/>
          <w:sz w:val="20"/>
        </w:rPr>
        <w:t/>
      </w:r>
    </w:p>
    <w:p>
      <w:pPr>
        <w:pStyle w:val="ab"/>
        <w:numPr>
          <w:numId w:val="7"/>
        </w:numPr>
      </w:pPr>
      <w:r>
        <w:t>29:17 CXO行业景气度分析与未来趋势预测</w:t>
      </w:r>
    </w:p>
    <w:p>
      <w:r>
        <w:rPr>
          <w:rFonts w:ascii="等线(中文正文)" w:hAnsi="等线(中文正文)" w:cs="等线(中文正文)" w:eastAsia="等线(中文正文)"/>
          <w:b w:val="false"/>
          <w:i w:val="false"/>
          <w:sz w:val="20"/>
        </w:rPr>
        <w:t>讨论了CXO行业在2023年的景气度变化，强调了全球创新药趋势的增强，国内公司在全球市场中的角色提升，以及康德等龙头企业的业绩超预期表现。指出地缘政治缓解、小分子新产品周期及国际竞争地位明确等因素对估值的积极影响。分析了不同链条景气度的演进关系，以及AI制药、BD、肿瘤治疗和ADC产品周期对行业未来发展的推动作用。</w:t>
      </w:r>
    </w:p>
    <w:p>
      <w:r>
        <w:rPr>
          <w:rFonts w:ascii="等线(中文正文)" w:hAnsi="等线(中文正文)" w:cs="等线(中文正文)" w:eastAsia="等线(中文正文)"/>
          <w:b w:val="false"/>
          <w:i w:val="false"/>
          <w:sz w:val="20"/>
        </w:rPr>
        <w:t/>
      </w:r>
    </w:p>
    <w:p>
      <w:pPr>
        <w:pStyle w:val="ab"/>
        <w:numPr>
          <w:numId w:val="8"/>
        </w:numPr>
      </w:pPr>
      <w:r>
        <w:t>33:28 康德估值与成长性探讨：地缘政治缓解与竞争力提升</w:t>
      </w:r>
    </w:p>
    <w:p>
      <w:r>
        <w:rPr>
          <w:rFonts w:ascii="等线(中文正文)" w:hAnsi="等线(中文正文)" w:cs="等线(中文正文)" w:eastAsia="等线(中文正文)"/>
          <w:b w:val="false"/>
          <w:i w:val="false"/>
          <w:sz w:val="20"/>
        </w:rPr>
        <w:t>对话深入分析了康德在医药行业的估值潜力，强调其成长性而非周期性特征。讨论指出，地缘政治的缓解、小分子技术的进步以及康德在供应链中的竞争优势，共同推动了其估值的提升空间。投资者逐渐认识到康德作为成长型企业的价值，而非简单的周期性业务，这为头部公司提供了更高的估值可能性。</w:t>
      </w:r>
    </w:p>
    <w:p>
      <w:r>
        <w:rPr>
          <w:rFonts w:ascii="等线(中文正文)" w:hAnsi="等线(中文正文)" w:cs="等线(中文正文)" w:eastAsia="等线(中文正文)"/>
          <w:b w:val="false"/>
          <w:i w:val="false"/>
          <w:sz w:val="20"/>
        </w:rPr>
        <w:t/>
      </w:r>
    </w:p>
    <w:p>
      <w:pPr>
        <w:pStyle w:val="ab"/>
        <w:numPr>
          <w:numId w:val="9"/>
        </w:numPr>
      </w:pPr>
      <w:r>
        <w:t>38:08 康德业绩增长可持续性及行业重估分析</w:t>
      </w:r>
    </w:p>
    <w:p>
      <w:r>
        <w:rPr>
          <w:rFonts w:ascii="等线(中文正文)" w:hAnsi="等线(中文正文)" w:cs="等线(中文正文)" w:eastAsia="等线(中文正文)"/>
          <w:b w:val="false"/>
          <w:i w:val="false"/>
          <w:sz w:val="20"/>
        </w:rPr>
        <w:t>对话深入探讨了康德公司业绩增长的可持续性，指出其太子业务与独立业务的增长确定性高，尤其是独立业务的订单价格翻倍增长。同时，分析了行业整体的估值重估机会，强调了海外专利悬崖、中国企业的竞争力提升及AI制药的助推作用。此外，还提到外资客户对CRO行业的兴趣持续，预示着行业未来可能的业绩催化。</w:t>
      </w:r>
    </w:p>
    <w:p>
      <w:r>
        <w:rPr>
          <w:rFonts w:ascii="等线(中文正文)" w:hAnsi="等线(中文正文)" w:cs="等线(中文正文)" w:eastAsia="等线(中文正文)"/>
          <w:b w:val="false"/>
          <w:i w:val="false"/>
          <w:sz w:val="20"/>
        </w:rPr>
        <w:t/>
      </w:r>
    </w:p>
    <w:p>
      <w:pPr>
        <w:pStyle w:val="ab"/>
        <w:numPr>
          <w:numId w:val="10"/>
        </w:numPr>
      </w:pPr>
      <w:r>
        <w:t>42:42 生物医药板块投资分析与预期差探讨</w:t>
      </w:r>
    </w:p>
    <w:p>
      <w:r>
        <w:rPr>
          <w:rFonts w:ascii="等线(中文正文)" w:hAnsi="等线(中文正文)" w:cs="等线(中文正文)" w:eastAsia="等线(中文正文)"/>
          <w:b w:val="false"/>
          <w:i w:val="false"/>
          <w:sz w:val="20"/>
        </w:rPr>
        <w:t>讨论了生物医药领域中未被充分关注的投资机会，包括独立实验室产能稀缺性、ADC生产外包的早研逻辑增长潜力，以及创新药产业链的重要会议和数据发布对市场情绪的影响。特别强调了海外数据、学术会议及关键临床数据读出作为重要参考点，对PD-1/PD-L1赛道及国内创新药出海具有重大意义。</w:t>
      </w:r>
    </w:p>
    <w:p>
      <w:r>
        <w:rPr>
          <w:rFonts w:ascii="等线(中文正文)" w:hAnsi="等线(中文正文)" w:cs="等线(中文正文)" w:eastAsia="等线(中文正文)"/>
          <w:b w:val="false"/>
          <w:i w:val="false"/>
          <w:sz w:val="20"/>
        </w:rPr>
        <w:t/>
      </w:r>
    </w:p>
    <w:p>
      <w:pPr>
        <w:pStyle w:val="ab"/>
        <w:numPr>
          <w:numId w:val="11"/>
        </w:numPr>
      </w:pPr>
      <w:r>
        <w:t>48:16 市场好时如何评估负面因素对药企的影响</w:t>
      </w:r>
    </w:p>
    <w:p>
      <w:r>
        <w:rPr>
          <w:rFonts w:ascii="等线(中文正文)" w:hAnsi="等线(中文正文)" w:cs="等线(中文正文)" w:eastAsia="等线(中文正文)"/>
          <w:b w:val="false"/>
          <w:i w:val="false"/>
          <w:sz w:val="20"/>
        </w:rPr>
        <w:t>讨论了市场表现良好时，如何评估国内政策、价格压力、资金来源及地缘政治等负面因素对药企的影响。指出国内反腐政策可能短期影响药企销售，但不影响创新药长期峰值；美国MNC在政策博弈中表现良好，现金流和销售压力有限，除非有重大政策变动。</w:t>
      </w:r>
    </w:p>
    <w:p>
      <w:r>
        <w:rPr>
          <w:rFonts w:ascii="等线(中文正文)" w:hAnsi="等线(中文正文)" w:cs="等线(中文正文)" w:eastAsia="等线(中文正文)"/>
          <w:b w:val="false"/>
          <w:i w:val="false"/>
          <w:sz w:val="20"/>
        </w:rPr>
        <w:t/>
      </w:r>
    </w:p>
    <w:p>
      <w:pPr>
        <w:pStyle w:val="ab"/>
        <w:numPr>
          <w:numId w:val="12"/>
        </w:numPr>
      </w:pPr>
      <w:r>
        <w:t>53:14 生物安全法案与地缘政治对医药行业的影响分析</w:t>
      </w:r>
    </w:p>
    <w:p>
      <w:r>
        <w:rPr>
          <w:rFonts w:ascii="等线(中文正文)" w:hAnsi="等线(中文正文)" w:cs="等线(中文正文)" w:eastAsia="等线(中文正文)"/>
          <w:b w:val="false"/>
          <w:i w:val="false"/>
          <w:sz w:val="20"/>
        </w:rPr>
        <w:t>讨论了生物安全法案对康德系公司的影响，指出康德在小分子药物领域的不可替代性，以及地缘政治因素对药明系公司估值的压制。分析了市场情绪底部确认过程，强调了外需相关领域景气度高，建议关注医药行业及出海线索的中报业绩。</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首先指出，在科技板块调整的背景下，医药板块，特别是医药外包服务（CXO）领域成为市场关注的焦点。尽管初期市场对CFO领域的认可度有限，但近两周，市场对CFO和创新药的关注显著提升，这不仅反映在公募基金对医药板块的持仓达到历史低位后出现的加仓现象上，也体现在BD规模超预期和市场投资热情的增加上。尽管如此，创新药领域全面获得市场认可度仍显不足，显示出市场存在分歧。
他特别强调了药明康德的业绩表现，指出其业绩大幅超预期，特别是小分子生产部分，这凸显了药明康德在全球供应链中的地位强化及生产能力的强劲需求。同时，也提到了AI制药对早研需求带来的正面影响，并以Twist为例说明了具体公司的业绩表现。
在讨论地缘政治影响时，他指出尽管它对CDMO公司如药明系产生了一定影响，但市场对地缘政治紧张的担忧正在缓解。他认为，尽管医药板块面临多因素影响，但市场情绪已触底，结构性变化和市场再平衡为投资者带来了新机遇，尤其是在CFO和创新药领域。最后，他鼓励与会者持续关注医药板块的发展。</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问：在七月初的周日漫谈中，你们为什么将C叉O板块作为科技板块调整过程中的重要推荐方向之一？</w:t>
      </w:r>
    </w:p>
    <w:p>
      <w:r>
        <w:rPr>
          <w:rFonts w:ascii="等线(中文正文)" w:hAnsi="等线(中文正文)" w:cs="等线(中文正文)" w:eastAsia="等线(中文正文)"/>
          <w:b w:val="false"/>
          <w:i w:val="false"/>
          <w:sz w:val="20"/>
        </w:rPr>
        <w:t>发言人1 答：当时我们认为，在科技板块调整时，C叉O板块可能成为资金分流的关注点。由于当时市场对C叉O板块的认可度不高，而二季度景气度不错且上半年BD（药物研发）规模超预期，但市场并未给予足够关注，因此我们认为存在一定的关注度提升空间。</w:t>
      </w:r>
    </w:p>
    <w:p>
      <w:r>
        <w:rPr>
          <w:rFonts w:ascii="等线(中文正文)" w:hAnsi="等线(中文正文)" w:cs="等线(中文正文)" w:eastAsia="等线(中文正文)"/>
          <w:b w:val="false"/>
          <w:i w:val="false"/>
          <w:sz w:val="20"/>
        </w:rPr>
        <w:t/>
      </w:r>
    </w:p>
    <w:p>
      <w:pPr>
        <w:pStyle w:val="ab"/>
      </w:pPr>
      <w:r>
        <w:t>发言人1 问：现在市场对于C叉O和创新药的关注度是什么状态？是否因为科技调整而有所增加？当前市场对于C叉O的认可程度如何？</w:t>
      </w:r>
    </w:p>
    <w:p>
      <w:r>
        <w:rPr>
          <w:rFonts w:ascii="等线(中文正文)" w:hAnsi="等线(中文正文)" w:cs="等线(中文正文)" w:eastAsia="等线(中文正文)"/>
          <w:b w:val="false"/>
          <w:i w:val="false"/>
          <w:sz w:val="20"/>
        </w:rPr>
        <w:t>发言人1 答：现在从七月到八月，C叉O和创新药的关注度确实明显提升。虽然公募基金在医药配置中的比例仍处于历史低位，但7月和8月有加仓迹象。目前，行业内部分人士开始关注创新药和C叉O，特别是C超板块，但并非所有人都对此持认可态度，关注度仍相对较小。市场逻辑比较一致地将C叉O排在创新药前面，主要是因为C叉O有业绩支撑，并且具有较为明确的长期增长逻辑，而创新药的投资门槛较高，所以C叉O的关注度更高。</w:t>
      </w:r>
    </w:p>
    <w:p>
      <w:r>
        <w:rPr>
          <w:rFonts w:ascii="等线(中文正文)" w:hAnsi="等线(中文正文)" w:cs="等线(中文正文)" w:eastAsia="等线(中文正文)"/>
          <w:b w:val="false"/>
          <w:i w:val="false"/>
          <w:sz w:val="20"/>
        </w:rPr>
        <w:t/>
      </w:r>
    </w:p>
    <w:p>
      <w:pPr>
        <w:pStyle w:val="ab"/>
      </w:pPr>
      <w:r>
        <w:t>发言人1 问：最近有哪些催化因素导致资金持续流入C叉O板块？</w:t>
      </w:r>
    </w:p>
    <w:p>
      <w:r>
        <w:rPr>
          <w:rFonts w:ascii="等线(中文正文)" w:hAnsi="等线(中文正文)" w:cs="等线(中文正文)" w:eastAsia="等线(中文正文)"/>
          <w:b w:val="false"/>
          <w:i w:val="false"/>
          <w:sz w:val="20"/>
        </w:rPr>
        <w:t>发言人1 答：近期资金流入C叉O板块的原因包括：一是对上半年基本面的反馈；二是正向催化事件，如药明康德业绩大超预期，尤其是小分子生产领域超预期，反映整个小分子研发进入新的产品周期，以及其全球供应链位置比预期更强；三是AI制药带来的早研需求增长，相关公司在市场上表现良好，符合市场主流叙事。</w:t>
      </w:r>
    </w:p>
    <w:p>
      <w:r>
        <w:rPr>
          <w:rFonts w:ascii="等线(中文正文)" w:hAnsi="等线(中文正文)" w:cs="等线(中文正文)" w:eastAsia="等线(中文正文)"/>
          <w:b w:val="false"/>
          <w:i w:val="false"/>
          <w:sz w:val="20"/>
        </w:rPr>
        <w:t/>
      </w:r>
    </w:p>
    <w:p>
      <w:pPr>
        <w:pStyle w:val="ab"/>
      </w:pPr>
      <w:r>
        <w:t>发言人1 问：药明康德被列入1260H名单的情况如何？</w:t>
      </w:r>
    </w:p>
    <w:p>
      <w:r>
        <w:rPr>
          <w:rFonts w:ascii="等线(中文正文)" w:hAnsi="等线(中文正文)" w:cs="等线(中文正文)" w:eastAsia="等线(中文正文)"/>
          <w:b w:val="false"/>
          <w:i w:val="false"/>
          <w:sz w:val="20"/>
        </w:rPr>
        <w:t>发言人1 答：药明康德发布公告称，其因国防支出相关项目被列入该名单，但已经开始上诉并在诉讼期间不受法律影响。虽然地缘政治因素对业绩的影响有限（受影响收入占比不到5%），但该事件仍可能会影响投资者情绪，不过也有正面解读，认为中美关系及CDMO行业判断存在一定的乐观空间。</w:t>
      </w:r>
    </w:p>
    <w:p>
      <w:r>
        <w:rPr>
          <w:rFonts w:ascii="等线(中文正文)" w:hAnsi="等线(中文正文)" w:cs="等线(中文正文)" w:eastAsia="等线(中文正文)"/>
          <w:b w:val="false"/>
          <w:i w:val="false"/>
          <w:sz w:val="20"/>
        </w:rPr>
        <w:t/>
      </w:r>
    </w:p>
    <w:p>
      <w:pPr>
        <w:pStyle w:val="ab"/>
      </w:pPr>
      <w:r>
        <w:t>发言人1 问：从基本面角度看，C超（创新药）的景气度及其持续性如何评价？</w:t>
      </w:r>
    </w:p>
    <w:p>
      <w:r>
        <w:rPr>
          <w:rFonts w:ascii="等线(中文正文)" w:hAnsi="等线(中文正文)" w:cs="等线(中文正文)" w:eastAsia="等线(中文正文)"/>
          <w:b w:val="false"/>
          <w:i w:val="false"/>
          <w:sz w:val="20"/>
        </w:rPr>
        <w:t>发言人1 答：目前C超景气度持续性良好，BD表现优于预期，猴子价格和产能利用率也显示出行业紧张状态。从订单角度看，无论是BD还是早研订单，都处于相对高位。综合来看，C超处于一个周期性视角下的兑现放量状态，同时受到产品迭代速度和技术进步的影响，未来发展仍有较强动力。</w:t>
      </w:r>
    </w:p>
    <w:p>
      <w:r>
        <w:rPr>
          <w:rFonts w:ascii="等线(中文正文)" w:hAnsi="等线(中文正文)" w:cs="等线(中文正文)" w:eastAsia="等线(中文正文)"/>
          <w:b w:val="false"/>
          <w:i w:val="false"/>
          <w:sz w:val="20"/>
        </w:rPr>
        <w:t/>
      </w:r>
    </w:p>
    <w:p>
      <w:pPr>
        <w:pStyle w:val="ab"/>
      </w:pPr>
      <w:r>
        <w:t>发言人1 问：在药物研发早期阶段，从分子设计到临床试验需要经历哪些步骤？</w:t>
      </w:r>
    </w:p>
    <w:p>
      <w:r>
        <w:rPr>
          <w:rFonts w:ascii="等线(中文正文)" w:hAnsi="等线(中文正文)" w:cs="等线(中文正文)" w:eastAsia="等线(中文正文)"/>
          <w:b w:val="false"/>
          <w:i w:val="false"/>
          <w:sz w:val="20"/>
        </w:rPr>
        <w:t>发言人1 答：在药物研发的早期阶段，首先需要进行分子设计，之后通过外包公司如康龙化成将设计出的分子合成出来。合成完成后，会对药物进行一系列药效检测，这些检测通常使用老鼠等动物模型进行，相关的公司包括百奥赛图和药康生物。在这一阶段通过各项测试后，研发机构会拿到IND（药物临床试验批准通知书），标志着可以开始一期临床试验。一期临床试验主要由临床CRO（如泰格医药）来执行。</w:t>
      </w:r>
    </w:p>
    <w:p>
      <w:r>
        <w:rPr>
          <w:rFonts w:ascii="等线(中文正文)" w:hAnsi="等线(中文正文)" w:cs="等线(中文正文)" w:eastAsia="等线(中文正文)"/>
          <w:b w:val="false"/>
          <w:i w:val="false"/>
          <w:sz w:val="20"/>
        </w:rPr>
        <w:t/>
      </w:r>
    </w:p>
    <w:p>
      <w:pPr>
        <w:pStyle w:val="ab"/>
      </w:pPr>
      <w:r>
        <w:t>发言人1 问：整个研发过程中，不同阶段的生产需求是如何分布的？</w:t>
      </w:r>
    </w:p>
    <w:p>
      <w:r>
        <w:rPr>
          <w:rFonts w:ascii="等线(中文正文)" w:hAnsi="等线(中文正文)" w:cs="等线(中文正文)" w:eastAsia="等线(中文正文)"/>
          <w:b w:val="false"/>
          <w:i w:val="false"/>
          <w:sz w:val="20"/>
        </w:rPr>
        <w:t>发言人1 答：在研发的不同阶段，从临床一期到三期之前，都是非商业化生产，这一部分由药明康德、凯莱英、药明合联和药明生物等CDMO企业提供服务。如果进入商业化上市阶段，则依然使用这些CDMO进行生产。整个研发链条上的不同CRO和CDMO需求与研发阶段紧密相关。</w:t>
      </w:r>
    </w:p>
    <w:p>
      <w:r>
        <w:rPr>
          <w:rFonts w:ascii="等线(中文正文)" w:hAnsi="等线(中文正文)" w:cs="等线(中文正文)" w:eastAsia="等线(中文正文)"/>
          <w:b w:val="false"/>
          <w:i w:val="false"/>
          <w:sz w:val="20"/>
        </w:rPr>
        <w:t/>
      </w:r>
    </w:p>
    <w:p>
      <w:pPr>
        <w:pStyle w:val="ab"/>
      </w:pPr>
      <w:r>
        <w:t>发言人1 问：AI制药如何影响早期研发需求的增长？</w:t>
      </w:r>
    </w:p>
    <w:p>
      <w:r>
        <w:rPr>
          <w:rFonts w:ascii="等线(中文正文)" w:hAnsi="等线(中文正文)" w:cs="等线(中文正文)" w:eastAsia="等线(中文正文)"/>
          <w:b w:val="false"/>
          <w:i w:val="false"/>
          <w:sz w:val="20"/>
        </w:rPr>
        <w:t>发言人1 答：AI制药在早期研发中起到了重要作用，它帮助设计并验证新的分子结构。随着AI技术的应用，不仅MNC（大型制药公司）对其加大投入，一级市场的生物科技公司也在使用AI制药技术进行早期研发。例如，Twist公司报告称，其AI制药业务的收入在一年内实现了超过三位数百分比的增长，显示出AI制药显著推动了早期研发需求的增长。</w:t>
      </w:r>
    </w:p>
    <w:p>
      <w:r>
        <w:rPr>
          <w:rFonts w:ascii="等线(中文正文)" w:hAnsi="等线(中文正文)" w:cs="等线(中文正文)" w:eastAsia="等线(中文正文)"/>
          <w:b w:val="false"/>
          <w:i w:val="false"/>
          <w:sz w:val="20"/>
        </w:rPr>
        <w:t/>
      </w:r>
    </w:p>
    <w:p>
      <w:pPr>
        <w:pStyle w:val="ab"/>
      </w:pPr>
      <w:r>
        <w:t>发言人1 问：海外市场上的早研需求为何向中国转移，以及转移的方式是什么？</w:t>
      </w:r>
    </w:p>
    <w:p>
      <w:r>
        <w:rPr>
          <w:rFonts w:ascii="等线(中文正文)" w:hAnsi="等线(中文正文)" w:cs="等线(中文正文)" w:eastAsia="等线(中文正文)"/>
          <w:b w:val="false"/>
          <w:i w:val="false"/>
          <w:sz w:val="20"/>
        </w:rPr>
        <w:t>发言人1 答：海外市场上的早研需求正在向中国转移，主要是通过BD（商务合作）方式，让中国厂家通过提供早期研发成果获得收入。此外，海外大型药企还与国内的知名生物技术公司签订平台合作协议，支付高额首付款以在未来几年内获得多个分子的研发权利。这种趋势为中国早研领域带来了巨大的增量机会。</w:t>
      </w:r>
    </w:p>
    <w:p>
      <w:r>
        <w:rPr>
          <w:rFonts w:ascii="等线(中文正文)" w:hAnsi="等线(中文正文)" w:cs="等线(中文正文)" w:eastAsia="等线(中文正文)"/>
          <w:b w:val="false"/>
          <w:i w:val="false"/>
          <w:sz w:val="20"/>
        </w:rPr>
        <w:t/>
      </w:r>
    </w:p>
    <w:p>
      <w:pPr>
        <w:pStyle w:val="ab"/>
      </w:pPr>
      <w:r>
        <w:t>发言人1 问：对于猴子这一实验动物在独立实验室中的角色及其价格走势如何？</w:t>
      </w:r>
    </w:p>
    <w:p>
      <w:r>
        <w:rPr>
          <w:rFonts w:ascii="等线(中文正文)" w:hAnsi="等线(中文正文)" w:cs="等线(中文正文)" w:eastAsia="等线(中文正文)"/>
          <w:b w:val="false"/>
          <w:i w:val="false"/>
          <w:sz w:val="20"/>
        </w:rPr>
        <w:t>发言人1 答：独立实验室在药物研发中常使用猴子进行毒性测试等研究，而猴子的价格参考美国市场，目前大约在3万到4万美金之间。由于国内外对猴子的需求都很旺盛，导致全球范围内猴子供应紧张，价格上涨。尽管如此，中国与美国的猴子价格相当，且在融资和客户需求强劲的背景下，中国猴子的价格仍有可能进一步上涨，预计下半年猴子价格将保持上涨趋势，但增速可能不会太快。</w:t>
      </w:r>
    </w:p>
    <w:p>
      <w:r>
        <w:rPr>
          <w:rFonts w:ascii="等线(中文正文)" w:hAnsi="等线(中文正文)" w:cs="等线(中文正文)" w:eastAsia="等线(中文正文)"/>
          <w:b w:val="false"/>
          <w:i w:val="false"/>
          <w:sz w:val="20"/>
        </w:rPr>
        <w:t/>
      </w:r>
    </w:p>
    <w:p>
      <w:pPr>
        <w:pStyle w:val="ab"/>
      </w:pPr>
      <w:r>
        <w:t>发言人1 问：康德在小分子领域的业绩增长是否可持续？</w:t>
      </w:r>
    </w:p>
    <w:p>
      <w:r>
        <w:rPr>
          <w:rFonts w:ascii="等线(中文正文)" w:hAnsi="等线(中文正文)" w:cs="等线(中文正文)" w:eastAsia="等线(中文正文)"/>
          <w:b w:val="false"/>
          <w:i w:val="false"/>
          <w:sz w:val="20"/>
        </w:rPr>
        <w:t>发言人1 答：康德在小分子领域的增长得益于漏斗效应和高产能利用率，明年业绩将在今年基础上实现稳定增速，确定性非常高。此外，除了康德之外，凯莱英、康龙化成等公司也是小分子CDMO领域的佼佼者。</w:t>
      </w:r>
    </w:p>
    <w:p>
      <w:r>
        <w:rPr>
          <w:rFonts w:ascii="等线(中文正文)" w:hAnsi="等线(中文正文)" w:cs="等线(中文正文)" w:eastAsia="等线(中文正文)"/>
          <w:b w:val="false"/>
          <w:i w:val="false"/>
          <w:sz w:val="20"/>
        </w:rPr>
        <w:t/>
      </w:r>
    </w:p>
    <w:p>
      <w:pPr>
        <w:pStyle w:val="ab"/>
      </w:pPr>
      <w:r>
        <w:t>发言人1 问：生物药和ADC领域的CDMO公司情况如何？这一轮创新药潮是否会比上一轮更加强势？</w:t>
      </w:r>
    </w:p>
    <w:p>
      <w:r>
        <w:rPr>
          <w:rFonts w:ascii="等线(中文正文)" w:hAnsi="等线(中文正文)" w:cs="等线(中文正文)" w:eastAsia="等线(中文正文)"/>
          <w:b w:val="false"/>
          <w:i w:val="false"/>
          <w:sz w:val="20"/>
        </w:rPr>
        <w:t>发言人1 答：生物药CDMO如药明生物，正逐渐接洽生物类似药订单，且处于产品周期的上升阶段；ADC CDMO药明合联在临床三期以前的CMC阶段，生产确定性较高。这一轮创新药潮相比上一轮趋势更强，因为涉及全球市场，不仅限于国内市场，同时过去几年行业出清，部分环节整合，参与公司体量更大。从早研到生产的各个阶段都有明确的景气度提升和业绩超预期表现。</w:t>
      </w:r>
    </w:p>
    <w:p>
      <w:r>
        <w:rPr>
          <w:rFonts w:ascii="等线(中文正文)" w:hAnsi="等线(中文正文)" w:cs="等线(中文正文)" w:eastAsia="等线(中文正文)"/>
          <w:b w:val="false"/>
          <w:i w:val="false"/>
          <w:sz w:val="20"/>
        </w:rPr>
        <w:t/>
      </w:r>
    </w:p>
    <w:p>
      <w:pPr>
        <w:pStyle w:val="ab"/>
      </w:pPr>
      <w:r>
        <w:t>发言人1 问：康德被列入1260H名单对药明系意味着什么？</w:t>
      </w:r>
    </w:p>
    <w:p>
      <w:r>
        <w:rPr>
          <w:rFonts w:ascii="等线(中文正文)" w:hAnsi="等线(中文正文)" w:cs="等线(中文正文)" w:eastAsia="等线(中文正文)"/>
          <w:b w:val="false"/>
          <w:i w:val="false"/>
          <w:sz w:val="20"/>
        </w:rPr>
        <w:t>发言人1 答：对于药明系而言，康德被列为1260H名单是一个重大利好消息，有助于提升订单获取和产能利用率，从而增强业绩确定性。</w:t>
      </w:r>
    </w:p>
    <w:p>
      <w:r>
        <w:rPr>
          <w:rFonts w:ascii="等线(中文正文)" w:hAnsi="等线(中文正文)" w:cs="等线(中文正文)" w:eastAsia="等线(中文正文)"/>
          <w:b w:val="false"/>
          <w:i w:val="false"/>
          <w:sz w:val="20"/>
        </w:rPr>
        <w:t/>
      </w:r>
    </w:p>
    <w:p>
      <w:pPr>
        <w:pStyle w:val="ab"/>
      </w:pPr>
      <w:r>
        <w:t>发言人1 问：早研到独立阶段的CXO业务发展趋势如何？</w:t>
      </w:r>
    </w:p>
    <w:p>
      <w:r>
        <w:rPr>
          <w:rFonts w:ascii="等线(中文正文)" w:hAnsi="等线(中文正文)" w:cs="等线(中文正文)" w:eastAsia="等线(中文正文)"/>
          <w:b w:val="false"/>
          <w:i w:val="false"/>
          <w:sz w:val="20"/>
        </w:rPr>
        <w:t>发言人1 答：早研到药效再到独立的链条中，今年药效增长强劲，明年独立阶段也将保持高增长，临床阶段后年增速可能更快，整个链条清晰可见，并且通过订单跟踪和投资价格等指标，目前整体趋势较为乐观。</w:t>
      </w:r>
    </w:p>
    <w:p>
      <w:r>
        <w:rPr>
          <w:rFonts w:ascii="等线(中文正文)" w:hAnsi="等线(中文正文)" w:cs="等线(中文正文)" w:eastAsia="等线(中文正文)"/>
          <w:b w:val="false"/>
          <w:i w:val="false"/>
          <w:sz w:val="20"/>
        </w:rPr>
        <w:t/>
      </w:r>
    </w:p>
    <w:p>
      <w:pPr>
        <w:pStyle w:val="ab"/>
      </w:pPr>
      <w:r>
        <w:t>发言人1 问：康德作为CDMO龙头，在估值上有哪些变化和提升空间？</w:t>
      </w:r>
    </w:p>
    <w:p>
      <w:r>
        <w:rPr>
          <w:rFonts w:ascii="等线(中文正文)" w:hAnsi="等线(中文正文)" w:cs="等线(中文正文)" w:eastAsia="等线(中文正文)"/>
          <w:b w:val="false"/>
          <w:i w:val="false"/>
          <w:sz w:val="20"/>
        </w:rPr>
        <w:t>发言人1 答：随着地缘政治形势的好转，康德在全球供应链中的议价权增强，订单选择余地大，且具有自主定价权，如ADC业务。目前康德的估值从之前的周期性调整到可能享受龙头溢价，未来随着新周期的开启、地缘政治缓解以及全球地位的巩固，估值空间有望进一步打开。</w:t>
      </w:r>
    </w:p>
    <w:p>
      <w:r>
        <w:rPr>
          <w:rFonts w:ascii="等线(中文正文)" w:hAnsi="等线(中文正文)" w:cs="等线(中文正文)" w:eastAsia="等线(中文正文)"/>
          <w:b w:val="false"/>
          <w:i w:val="false"/>
          <w:sz w:val="20"/>
        </w:rPr>
        <w:t/>
      </w:r>
    </w:p>
    <w:p>
      <w:pPr>
        <w:pStyle w:val="ab"/>
      </w:pPr>
      <w:r>
        <w:t>发言人1 问：康德的业绩增长确定性如何？</w:t>
      </w:r>
    </w:p>
    <w:p>
      <w:r>
        <w:rPr>
          <w:rFonts w:ascii="等线(中文正文)" w:hAnsi="等线(中文正文)" w:cs="等线(中文正文)" w:eastAsia="等线(中文正文)"/>
          <w:b w:val="false"/>
          <w:i w:val="false"/>
          <w:sz w:val="20"/>
        </w:rPr>
        <w:t>发言人1 答：康德的业绩增长确定性很高，主要体现在下半年太子业务（与切尔博泰相关）的产能和订单指引上，由于切尔博泰二季度超预期销售并上调了全年指引，康德这边生产将增加，因此太子板块下半年增长确定性极高。另外，独立业务也具有很大弹性，订单价格翻倍增长，下半年和明年均呈现高速增长态势。</w:t>
      </w:r>
    </w:p>
    <w:p>
      <w:r>
        <w:rPr>
          <w:rFonts w:ascii="等线(中文正文)" w:hAnsi="等线(中文正文)" w:cs="等线(中文正文)" w:eastAsia="等线(中文正文)"/>
          <w:b w:val="false"/>
          <w:i w:val="false"/>
          <w:sz w:val="20"/>
        </w:rPr>
        <w:t/>
      </w:r>
    </w:p>
    <w:p>
      <w:pPr>
        <w:pStyle w:val="ab"/>
      </w:pPr>
      <w:r>
        <w:t>发言人1 问：对于康德后年及28年、29年的增长预期是怎样的？</w:t>
      </w:r>
    </w:p>
    <w:p>
      <w:r>
        <w:rPr>
          <w:rFonts w:ascii="等线(中文正文)" w:hAnsi="等线(中文正文)" w:cs="等线(中文正文)" w:eastAsia="等线(中文正文)"/>
          <w:b w:val="false"/>
          <w:i w:val="false"/>
          <w:sz w:val="20"/>
        </w:rPr>
        <w:t>发言人1 答：后年即28年，test业务可能会达峰，但小分子业务仍将持续放量，支持相对高速的增长；独立业务同样保持高速增长。因此，从长期看，包括28年和29年在内的未来几年，康德的增长确定性依然较高。</w:t>
      </w:r>
    </w:p>
    <w:p>
      <w:r>
        <w:rPr>
          <w:rFonts w:ascii="等线(中文正文)" w:hAnsi="等线(中文正文)" w:cs="等线(中文正文)" w:eastAsia="等线(中文正文)"/>
          <w:b w:val="false"/>
          <w:i w:val="false"/>
          <w:sz w:val="20"/>
        </w:rPr>
        <w:t/>
      </w:r>
    </w:p>
    <w:p>
      <w:pPr>
        <w:pStyle w:val="ab"/>
      </w:pPr>
      <w:r>
        <w:t>发言人1 问：当前市场对于CRO板块的认知和持仓情况如何？</w:t>
      </w:r>
    </w:p>
    <w:p>
      <w:r>
        <w:rPr>
          <w:rFonts w:ascii="等线(中文正文)" w:hAnsi="等线(中文正文)" w:cs="等线(中文正文)" w:eastAsia="等线(中文正文)"/>
          <w:b w:val="false"/>
          <w:i w:val="false"/>
          <w:sz w:val="20"/>
        </w:rPr>
        <w:t>发言人1 答：目前市场对于CRO板块的认知可能还不够充分，许多客户仍在寻找具备投资潜力的CRO公司，持仓并非非常高，且Q2还有不少公司未发布业绩，如百奥赛图和康德等公司业绩超预期，将为板块带来持续催化作用。</w:t>
      </w:r>
    </w:p>
    <w:p>
      <w:r>
        <w:rPr>
          <w:rFonts w:ascii="等线(中文正文)" w:hAnsi="等线(中文正文)" w:cs="等线(中文正文)" w:eastAsia="等线(中文正文)"/>
          <w:b w:val="false"/>
          <w:i w:val="false"/>
          <w:sz w:val="20"/>
        </w:rPr>
        <w:t/>
      </w:r>
    </w:p>
    <w:p>
      <w:pPr>
        <w:pStyle w:val="ab"/>
      </w:pPr>
      <w:r>
        <w:t>发言人1 问：在当前环境下如何看待业绩和配置重估的问题？</w:t>
      </w:r>
    </w:p>
    <w:p>
      <w:r>
        <w:rPr>
          <w:rFonts w:ascii="等线(中文正文)" w:hAnsi="等线(中文正文)" w:cs="等线(中文正文)" w:eastAsia="等线(中文正文)"/>
          <w:b w:val="false"/>
          <w:i w:val="false"/>
          <w:sz w:val="20"/>
        </w:rPr>
        <w:t>发言人1 答：当前行业正面临配置重估和估值重估阶段，与海外龙头相比，存在明显的折价特征，部分地缘因素带来的压力也有所缓解。需要关注的是，投资者应摒弃上一轮周期性变化视角，从国内走向海外，结合AI制药等新兴因素对行业影响，以及产品周期、海外专利悬崖及中国企业竞争力等方面的变化来重新审视和配置相关资产。</w:t>
      </w:r>
    </w:p>
    <w:p>
      <w:r>
        <w:rPr>
          <w:rFonts w:ascii="等线(中文正文)" w:hAnsi="等线(中文正文)" w:cs="等线(中文正文)" w:eastAsia="等线(中文正文)"/>
          <w:b w:val="false"/>
          <w:i w:val="false"/>
          <w:sz w:val="20"/>
        </w:rPr>
        <w:t/>
      </w:r>
    </w:p>
    <w:p>
      <w:pPr>
        <w:pStyle w:val="ab"/>
      </w:pPr>
      <w:r>
        <w:t>发言人1 问：市场上是否存在尚未被充分关注的有更大预期差的环节？</w:t>
      </w:r>
    </w:p>
    <w:p>
      <w:r>
        <w:rPr>
          <w:rFonts w:ascii="等线(中文正文)" w:hAnsi="等线(中文正文)" w:cs="等线(中文正文)" w:eastAsia="等线(中文正文)"/>
          <w:b w:val="false"/>
          <w:i w:val="false"/>
          <w:sz w:val="20"/>
        </w:rPr>
        <w:t>发言人1 答：市场上对于某些环节的关注度还不够充分，例如独立领域明年可能会因猴子资源稀缺和GLP实验室产能紧张而导致业绩增幅超出市场预期。此外，ADC生产外包领域除了生产订单外，非生产性的CDMO需求（如三期临床前）也可能带来快速增长，市场对此部分关注度不高，但实际增长潜力较大。</w:t>
      </w:r>
    </w:p>
    <w:p>
      <w:r>
        <w:rPr>
          <w:rFonts w:ascii="等线(中文正文)" w:hAnsi="等线(中文正文)" w:cs="等线(中文正文)" w:eastAsia="等线(中文正文)"/>
          <w:b w:val="false"/>
          <w:i w:val="false"/>
          <w:sz w:val="20"/>
        </w:rPr>
        <w:t/>
      </w:r>
    </w:p>
    <w:p>
      <w:pPr>
        <w:pStyle w:val="ab"/>
      </w:pPr>
      <w:r>
        <w:t>发言人1 问：从CRO产业链角度看，哪些重要时点或事件值得关注？</w:t>
      </w:r>
    </w:p>
    <w:p>
      <w:r>
        <w:rPr>
          <w:rFonts w:ascii="等线(中文正文)" w:hAnsi="等线(中文正文)" w:cs="等线(中文正文)" w:eastAsia="等线(中文正文)"/>
          <w:b w:val="false"/>
          <w:i w:val="false"/>
          <w:sz w:val="20"/>
        </w:rPr>
        <w:t>发言人1 答：除了财报外，对于创新药赛道，Q4海外PD-1抑制剂等数据的发布对整个板块情绪和基本面向往都会产生较大影响。此外，下半年肿瘤学术会议如ESMO上会有国内厂家的关键数据读出，这也是重要的参考指标。</w:t>
      </w:r>
    </w:p>
    <w:p>
      <w:r>
        <w:rPr>
          <w:rFonts w:ascii="等线(中文正文)" w:hAnsi="等线(中文正文)" w:cs="等线(中文正文)" w:eastAsia="等线(中文正文)"/>
          <w:b w:val="false"/>
          <w:i w:val="false"/>
          <w:sz w:val="20"/>
        </w:rPr>
        <w:t/>
      </w:r>
    </w:p>
    <w:p>
      <w:pPr>
        <w:pStyle w:val="ab"/>
      </w:pPr>
      <w:r>
        <w:t>发言人1 问：在市场表现较好时，如何看待之前讨论过的负面因素，如价格压力、MNC现金流压力及地缘政治等？</w:t>
      </w:r>
    </w:p>
    <w:p>
      <w:r>
        <w:rPr>
          <w:rFonts w:ascii="等线(中文正文)" w:hAnsi="等线(中文正文)" w:cs="等线(中文正文)" w:eastAsia="等线(中文正文)"/>
          <w:b w:val="false"/>
          <w:i w:val="false"/>
          <w:sz w:val="20"/>
        </w:rPr>
        <w:t>发言人1 答：虽然市场当前表现较好，但国内一系列价格政策及海外价格压力等因素仍需关注。不过，国内政策持续支持创新药发展，医保价格调整已给予较大支持。反腐或医药代表新规短期内可能会影响部分药企销售，但长期来看，这些负面因素对创新药板块的影响可能没有市场在乐观时期反映得那么重要。投资者需要从不同维度综合评估这些因素对未来的影响。</w:t>
      </w:r>
    </w:p>
    <w:p>
      <w:r>
        <w:rPr>
          <w:rFonts w:ascii="等线(中文正文)" w:hAnsi="等线(中文正文)" w:cs="等线(中文正文)" w:eastAsia="等线(中文正文)"/>
          <w:b w:val="false"/>
          <w:i w:val="false"/>
          <w:sz w:val="20"/>
        </w:rPr>
        <w:t/>
      </w:r>
    </w:p>
    <w:p>
      <w:pPr>
        <w:pStyle w:val="ab"/>
      </w:pPr>
      <w:r>
        <w:t>发言人1 问：Q3对于一些公司业绩的影响以及反腐政策对药企的具体影响是怎样的？</w:t>
      </w:r>
    </w:p>
    <w:p>
      <w:r>
        <w:rPr>
          <w:rFonts w:ascii="等线(中文正文)" w:hAnsi="等线(中文正文)" w:cs="等线(中文正文)" w:eastAsia="等线(中文正文)"/>
          <w:b w:val="false"/>
          <w:i w:val="false"/>
          <w:sz w:val="20"/>
        </w:rPr>
        <w:t>发言人1 答：Q3业绩还需观察，反腐政策可能会影响学术会议的开展和医药代表的拜访次数，从而对短期投资情绪产生影响。但对于创新药企业，反腐政策主要通过业绩影响投资情绪，而对海外企业或纯创新药企业的影响相对有限，它们的峰值和估值不会受到太大影响。</w:t>
      </w:r>
    </w:p>
    <w:p>
      <w:r>
        <w:rPr>
          <w:rFonts w:ascii="等线(中文正文)" w:hAnsi="等线(中文正文)" w:cs="等线(中文正文)" w:eastAsia="等线(中文正文)"/>
          <w:b w:val="false"/>
          <w:i w:val="false"/>
          <w:sz w:val="20"/>
        </w:rPr>
        <w:t/>
      </w:r>
    </w:p>
    <w:p>
      <w:pPr>
        <w:pStyle w:val="ab"/>
      </w:pPr>
      <w:r>
        <w:t>发言人1 问：美国那边的政策对于MNC（大型药品公司）的影响如何？</w:t>
      </w:r>
    </w:p>
    <w:p>
      <w:r>
        <w:rPr>
          <w:rFonts w:ascii="等线(中文正文)" w:hAnsi="等线(中文正文)" w:cs="等线(中文正文)" w:eastAsia="等线(中文正文)"/>
          <w:b w:val="false"/>
          <w:i w:val="false"/>
          <w:sz w:val="20"/>
        </w:rPr>
        <w:t>发言人1 答：美国政策对MNC药企的杀伤力相对有限，部分新药的价格得到保护，且头部MNC今年Q2业绩超预期并上调了指引。即使有降价现象，但新产品带来的增长使得这些公司仍能保持良好的经营状态，不需要过于担心现金流和销售压力。</w:t>
      </w:r>
    </w:p>
    <w:p>
      <w:r>
        <w:rPr>
          <w:rFonts w:ascii="等线(中文正文)" w:hAnsi="等线(中文正文)" w:cs="等线(中文正文)" w:eastAsia="等线(中文正文)"/>
          <w:b w:val="false"/>
          <w:i w:val="false"/>
          <w:sz w:val="20"/>
        </w:rPr>
        <w:t/>
      </w:r>
    </w:p>
    <w:p>
      <w:pPr>
        <w:pStyle w:val="ab"/>
      </w:pPr>
      <w:r>
        <w:t>发言人1 问：生物安全法案或地缘问题对康德系公司的具体影响是什么？</w:t>
      </w:r>
    </w:p>
    <w:p>
      <w:r>
        <w:rPr>
          <w:rFonts w:ascii="等线(中文正文)" w:hAnsi="等线(中文正文)" w:cs="等线(中文正文)" w:eastAsia="等线(中文正文)"/>
          <w:b w:val="false"/>
          <w:i w:val="false"/>
          <w:sz w:val="20"/>
        </w:rPr>
        <w:t>发言人1 答：生物安全法案或地缘问题主要影响康德系公司，但康德因其不可替代性，在关系紧张时仍能从美国药企获得订单，即使面临严格限制，其影响也相对有限。例如切尔博泰产品因产能扩大的原因，即使有地缘因素，康德仍扮演着不可或缺的角色。</w:t>
      </w:r>
    </w:p>
    <w:p>
      <w:r>
        <w:rPr>
          <w:rFonts w:ascii="等线(中文正文)" w:hAnsi="等线(中文正文)" w:cs="等线(中文正文)" w:eastAsia="等线(中文正文)"/>
          <w:b w:val="false"/>
          <w:i w:val="false"/>
          <w:sz w:val="20"/>
        </w:rPr>
        <w:t/>
      </w:r>
    </w:p>
    <w:p>
      <w:pPr>
        <w:pStyle w:val="ab"/>
      </w:pPr>
      <w:r>
        <w:t>发言人1 问：对于药明系公司，目前估值处于什么水平？未来若再有严厉的地缘法案，会如何影响它们？</w:t>
      </w:r>
    </w:p>
    <w:p>
      <w:r>
        <w:rPr>
          <w:rFonts w:ascii="等线(中文正文)" w:hAnsi="等线(中文正文)" w:cs="等线(中文正文)" w:eastAsia="等线(中文正文)"/>
          <w:b w:val="false"/>
          <w:i w:val="false"/>
          <w:sz w:val="20"/>
        </w:rPr>
        <w:t>发言人1 答：药明系公司目前估值偏低，部分原因是受到了地缘政治因素的影响。这些公司在尝试身份转变以摆脱地缘影响，并且有新的产品周期和早研需求支撑。若未来有更严厉的地缘法案，需要看其严酷程度，但整体格局上，生物药ADC和小分子领域中康德具有较强的竞争力和不可替代性。</w:t>
      </w:r>
    </w:p>
    <w:p>
      <w:r>
        <w:rPr>
          <w:rFonts w:ascii="等线(中文正文)" w:hAnsi="等线(中文正文)" w:cs="等线(中文正文)" w:eastAsia="等线(中文正文)"/>
          <w:b w:val="false"/>
          <w:i w:val="false"/>
          <w:sz w:val="20"/>
        </w:rPr>
        <w:t/>
      </w:r>
    </w:p>
    <w:p>
      <w:pPr>
        <w:pStyle w:val="ab"/>
      </w:pPr>
      <w:r>
        <w:t>发言人1 问：对于市场状况和投资情绪的看法是怎样的？</w:t>
      </w:r>
    </w:p>
    <w:p>
      <w:r>
        <w:rPr>
          <w:rFonts w:ascii="等线(中文正文)" w:hAnsi="等线(中文正文)" w:cs="等线(中文正文)" w:eastAsia="等线(中文正文)"/>
          <w:b w:val="false"/>
          <w:i w:val="false"/>
          <w:sz w:val="20"/>
        </w:rPr>
        <w:t>发言人1 答：市场目前处在成交金额维持底部、价格端超跌完成的状态，预计成交金额在1.9万亿到2万亿之间波动。市场情绪底部确认可能需要数周时间，但随着业绩预告良好公司的中报披露，市场将获得增量信息和确认。当前市场调整和极端分化收敛接近尾声，结构变化和市场再平衡值得关注，核心方向包括中报线索的扩圈等。</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2026-08-09T14:48:10Z</dcterms:created>
  <dc:creator>Apache POI</dc:creator>
</cp:coreProperties>
</file>