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华安基金 ETF会客室：主动ETF来了！华安解密新物种 260809_导读</w:t>
      </w:r>
    </w:p>
    <w:p>
      <w:pPr>
        <w:pStyle w:val="a0"/>
        <w:jc w:val="center"/>
      </w:pPr>
      <w:r>
        <w:t>2026年08月09日 22:26</w:t>
      </w:r>
    </w:p>
    <w:p>
      <w:pPr>
        <w:pStyle w:val="a7"/>
      </w:pPr>
      <w:r>
        <w:t>关键词</w:t>
      </w:r>
    </w:p>
    <w:p>
      <w:r>
        <w:rPr>
          <w:rFonts w:ascii="等线(中文正文)" w:hAnsi="等线(中文正文)" w:cs="等线(中文正文)" w:eastAsia="等线(中文正文)"/>
          <w:b w:val="false"/>
          <w:i w:val="false"/>
          <w:sz w:val="20"/>
        </w:rPr>
        <w:t xml:space="preserve">主动etf 沪深300 增强etf 超额收益 持仓透明 交易灵活 费率 全球投资 美国市场 基金经理 风险把控 etf团队 运营能力 基本面选股 贝塔 阿尔法收益 华安基金 投研观点 地缘政治 AI增速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华安基金的两位基金经理探讨了主动管理ETF（交易所交易基金）这一新产品类别，强调其不绑定基准指数，完全依赖基金经理的选股能力，旨在超越市场平均表现，为投资者带来更高回报。主动管理ETF的操作机制、优势及如何满足投资者对超额收益和灵活交易的需求成为讨论重点。他们从全球视角分析了主动管理ETF的发展趋势，并分享了华安基金的投资策略和经验。此外，两位经理还就当前市场状况、特别是AI领域的投资机会及市场波动性进行了分析，并为投资者提供了未来投资建议。</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主动ETF：创新投资品种解析</w:t>
      </w:r>
    </w:p>
    <w:p>
      <w:r>
        <w:rPr>
          <w:rFonts w:ascii="等线(中文正文)" w:hAnsi="等线(中文正文)" w:cs="等线(中文正文)" w:eastAsia="等线(中文正文)"/>
          <w:b w:val="false"/>
          <w:i w:val="false"/>
          <w:sz w:val="20"/>
        </w:rPr>
        <w:t>对话深入探讨了主动ETF这一新兴投资品种，解释其运作机制，即不受特定基准指数限制，完全依赖基金经理主动选股与团队风险控制，旨在超越市场平均收益，获取超额阿尔法。此创新品类满足投资者获取超额收益的需求，代表了国内投资市场的进步与灵活性。</w:t>
      </w:r>
    </w:p>
    <w:p>
      <w:r>
        <w:rPr>
          <w:rFonts w:ascii="等线(中文正文)" w:hAnsi="等线(中文正文)" w:cs="等线(中文正文)" w:eastAsia="等线(中文正文)"/>
          <w:b w:val="false"/>
          <w:i w:val="false"/>
          <w:sz w:val="20"/>
        </w:rPr>
        <w:t/>
      </w:r>
    </w:p>
    <w:p>
      <w:pPr>
        <w:pStyle w:val="ab"/>
        <w:numPr>
          <w:numId w:val="2"/>
        </w:numPr>
      </w:pPr>
      <w:r>
        <w:t>02:41 主动ETF：主动管理与交易灵活性的完美结合</w:t>
      </w:r>
    </w:p>
    <w:p>
      <w:r>
        <w:rPr>
          <w:rFonts w:ascii="等线(中文正文)" w:hAnsi="等线(中文正文)" w:cs="等线(中文正文)" w:eastAsia="等线(中文正文)"/>
          <w:b w:val="false"/>
          <w:i w:val="false"/>
          <w:sz w:val="20"/>
        </w:rPr>
        <w:t>对话深入探讨了主动ETF的核心优势，包括依靠基金经理的选股能力获取超额收益、日内灵活交易以及每日持仓透明度，同时指出其在费率上的优势，相较于传统场外基金，主动ETF提供更高效、透明和低成本的投资体验。</w:t>
      </w:r>
    </w:p>
    <w:p>
      <w:r>
        <w:rPr>
          <w:rFonts w:ascii="等线(中文正文)" w:hAnsi="等线(中文正文)" w:cs="等线(中文正文)" w:eastAsia="等线(中文正文)"/>
          <w:b w:val="false"/>
          <w:i w:val="false"/>
          <w:sz w:val="20"/>
        </w:rPr>
        <w:t/>
      </w:r>
    </w:p>
    <w:p>
      <w:pPr>
        <w:pStyle w:val="ab"/>
        <w:numPr>
          <w:numId w:val="3"/>
        </w:numPr>
      </w:pPr>
      <w:r>
        <w:t>08:28 主动ETF：全球视角下的投资趋势与优势</w:t>
      </w:r>
    </w:p>
    <w:p>
      <w:r>
        <w:rPr>
          <w:rFonts w:ascii="等线(中文正文)" w:hAnsi="等线(中文正文)" w:cs="等线(中文正文)" w:eastAsia="等线(中文正文)"/>
          <w:b w:val="false"/>
          <w:i w:val="false"/>
          <w:sz w:val="20"/>
        </w:rPr>
        <w:t>对话探讨了全球范围内，尤其是美国市场，主动ETF的发展历程与优势。自2008年首只主动ETF推出以来，其规模与数量已显著增长，尤其在2020年疫情后，科技股重仓的主动ETF表现出色，受到投资者青睐。主动ETF结合了ETF的交易灵活性与主动管理的选股优势，满足了投资者对超额收益和日内交易的需求。此外，主动ETF提高了资金效率，基金经理仓位控制更灵活，弥补了市场上的投资空白。</w:t>
      </w:r>
    </w:p>
    <w:p>
      <w:r>
        <w:rPr>
          <w:rFonts w:ascii="等线(中文正文)" w:hAnsi="等线(中文正文)" w:cs="等线(中文正文)" w:eastAsia="等线(中文正文)"/>
          <w:b w:val="false"/>
          <w:i w:val="false"/>
          <w:sz w:val="20"/>
        </w:rPr>
        <w:t/>
      </w:r>
    </w:p>
    <w:p>
      <w:pPr>
        <w:pStyle w:val="ab"/>
        <w:numPr>
          <w:numId w:val="4"/>
        </w:numPr>
      </w:pPr>
      <w:r>
        <w:t>12:23 主动ETF：适应市场波动的均衡投资策略</w:t>
      </w:r>
    </w:p>
    <w:p>
      <w:r>
        <w:rPr>
          <w:rFonts w:ascii="等线(中文正文)" w:hAnsi="等线(中文正文)" w:cs="等线(中文正文)" w:eastAsia="等线(中文正文)"/>
          <w:b w:val="false"/>
          <w:i w:val="false"/>
          <w:sz w:val="20"/>
        </w:rPr>
        <w:t>对话讨论了首批18只主动ETF的均衡特性，指出其适合当前市场波动大、科技股回撤压力高的A股环境，可作为普通投资者的底仓布局。同时，强调了海外主动ETF产品的多元性及美国市场的成熟度，而国内则处于初创阶段，注重普惠性和交易性。挑选主动ETF时，需考量ETF运营团队的风险管理和运营能力，以及基金经理的投研观点和管理能力。华安基金作为国内领先的ETF管理团队，拥有2000亿元的ETF管理规模，其量化团队在指数产品设计、运营和管理上具有23年的经验，能为投资者提供稳健的主动ETF选择。</w:t>
      </w:r>
    </w:p>
    <w:p>
      <w:r>
        <w:rPr>
          <w:rFonts w:ascii="等线(中文正文)" w:hAnsi="等线(中文正文)" w:cs="等线(中文正文)" w:eastAsia="等线(中文正文)"/>
          <w:b w:val="false"/>
          <w:i w:val="false"/>
          <w:sz w:val="20"/>
        </w:rPr>
        <w:t/>
      </w:r>
    </w:p>
    <w:p>
      <w:pPr>
        <w:pStyle w:val="ab"/>
        <w:numPr>
          <w:numId w:val="5"/>
        </w:numPr>
      </w:pPr>
      <w:r>
        <w:t>17:24 市场波动分析与地缘政治风险影响</w:t>
      </w:r>
    </w:p>
    <w:p>
      <w:r>
        <w:rPr>
          <w:rFonts w:ascii="等线(中文正文)" w:hAnsi="等线(中文正文)" w:cs="等线(中文正文)" w:eastAsia="等线(中文正文)"/>
          <w:b w:val="false"/>
          <w:i w:val="false"/>
          <w:sz w:val="20"/>
        </w:rPr>
        <w:t>近期市场波动主要由海外风险因素传导至国内，特别是AI产业链和科技成长类资产的大幅波动。分析认为，美国地缘政治风险虽导致油价上行，但核心通胀已见底，供需层面不支持油价维持高位，预计油价将回落至60-70美元区间。此外，美国经济增长结构显示，居民消费和就业走弱，难以承受加息动作，因此年内美联储加息预期可能被市场过分担忧。</w:t>
      </w:r>
    </w:p>
    <w:p>
      <w:r>
        <w:rPr>
          <w:rFonts w:ascii="等线(中文正文)" w:hAnsi="等线(中文正文)" w:cs="等线(中文正文)" w:eastAsia="等线(中文正文)"/>
          <w:b w:val="false"/>
          <w:i w:val="false"/>
          <w:sz w:val="20"/>
        </w:rPr>
        <w:t/>
      </w:r>
    </w:p>
    <w:p>
      <w:pPr>
        <w:pStyle w:val="ab"/>
        <w:numPr>
          <w:numId w:val="6"/>
        </w:numPr>
      </w:pPr>
      <w:r>
        <w:t>22:29 AI产业链投资分析与下半年市场展望</w:t>
      </w:r>
    </w:p>
    <w:p>
      <w:r>
        <w:rPr>
          <w:rFonts w:ascii="等线(中文正文)" w:hAnsi="等线(中文正文)" w:cs="等线(中文正文)" w:eastAsia="等线(中文正文)"/>
          <w:b w:val="false"/>
          <w:i w:val="false"/>
          <w:sz w:val="20"/>
        </w:rPr>
        <w:t>对话深入探讨了AI大模型的宏观叙事调整，指出尽管短期内价格战导致预期放缓，但长期看，AI应用渗透率提升和性能优化将推动AI产业链增长。分析认为，下半年流动性充裕和估值回归合理区间，将支撑结构性牛市，建议投资者关注AI产业链的投资机会。</w:t>
      </w:r>
    </w:p>
    <w:p>
      <w:r>
        <w:rPr>
          <w:rFonts w:ascii="等线(中文正文)" w:hAnsi="等线(中文正文)" w:cs="等线(中文正文)" w:eastAsia="等线(中文正文)"/>
          <w:b w:val="false"/>
          <w:i w:val="false"/>
          <w:sz w:val="20"/>
        </w:rPr>
        <w:t/>
      </w:r>
    </w:p>
    <w:p>
      <w:pPr>
        <w:pStyle w:val="ab"/>
        <w:numPr>
          <w:numId w:val="7"/>
        </w:numPr>
      </w:pPr>
      <w:r>
        <w:t>28:35 AI产业链投资策略与宏观市场趋势分析</w:t>
      </w:r>
    </w:p>
    <w:p>
      <w:r>
        <w:rPr>
          <w:rFonts w:ascii="等线(中文正文)" w:hAnsi="等线(中文正文)" w:cs="等线(中文正文)" w:eastAsia="等线(中文正文)"/>
          <w:b w:val="false"/>
          <w:i w:val="false"/>
          <w:sz w:val="20"/>
        </w:rPr>
        <w:t>对话围绕AI产业链的投资策略展开，指出海外产业链在盈利确定性方面优于国产链，更看好AI硬件投资，尤其在云端算力方面。同时，宏观市场趋势显示新旧经济二元分化，价值目标与资源股表现分化，整体经济走势影响股票市场。</w:t>
      </w:r>
    </w:p>
    <w:p>
      <w:r>
        <w:rPr>
          <w:rFonts w:ascii="等线(中文正文)" w:hAnsi="等线(中文正文)" w:cs="等线(中文正文)" w:eastAsia="等线(中文正文)"/>
          <w:b w:val="false"/>
          <w:i w:val="false"/>
          <w:sz w:val="20"/>
        </w:rPr>
        <w:t/>
      </w:r>
    </w:p>
    <w:p>
      <w:pPr>
        <w:pStyle w:val="ab"/>
        <w:numPr>
          <w:numId w:val="8"/>
        </w:numPr>
      </w:pPr>
      <w:r>
        <w:t>34:19 科技成长板块与资金外溢趋势分析</w:t>
      </w:r>
    </w:p>
    <w:p>
      <w:r>
        <w:rPr>
          <w:rFonts w:ascii="等线(中文正文)" w:hAnsi="等线(中文正文)" w:cs="等线(中文正文)" w:eastAsia="等线(中文正文)"/>
          <w:b w:val="false"/>
          <w:i w:val="false"/>
          <w:sz w:val="20"/>
        </w:rPr>
        <w:t>对话围绕科技成长板块的资金外溢趋势展开，重点讨论了创新药板块、出口景气行业及非银板块的盈利增长确定性，认为这些行业能够承接AI板块溢出的资金，具备较强的投资价值。</w:t>
      </w:r>
    </w:p>
    <w:p>
      <w:r>
        <w:rPr>
          <w:rFonts w:ascii="等线(中文正文)" w:hAnsi="等线(中文正文)" w:cs="等线(中文正文)" w:eastAsia="等线(中文正文)"/>
          <w:b w:val="false"/>
          <w:i w:val="false"/>
          <w:sz w:val="20"/>
        </w:rPr>
        <w:t/>
      </w:r>
    </w:p>
    <w:p>
      <w:pPr>
        <w:pStyle w:val="ab"/>
        <w:numPr>
          <w:numId w:val="9"/>
        </w:numPr>
      </w:pPr>
      <w:r>
        <w:t>38:32 华安行业主动ETF策略解析：核心资产与卫星资产的动态配置</w:t>
      </w:r>
    </w:p>
    <w:p>
      <w:r>
        <w:rPr>
          <w:rFonts w:ascii="等线(中文正文)" w:hAnsi="等线(中文正文)" w:cs="等线(中文正文)" w:eastAsia="等线(中文正文)"/>
          <w:b w:val="false"/>
          <w:i w:val="false"/>
          <w:sz w:val="20"/>
        </w:rPr>
        <w:t>对话详细阐述了华安行业在筹备中的主动ETF策略，强调通过核心资产和卫星资产的动态配置实现稳健增值与超额收益。核心资产聚焦高分红、低波动、大市值的防御性资产，提供smart beta回报；卫星资产则通过景气赛道投资捕捉阿尔法收益。策略依据行业轮动强度调整资产配置，避免估值陷阱与追高风险，致力于为投资者构建‘稳稳的幸福’投资组合。</w:t>
      </w:r>
    </w:p>
    <w:p>
      <w:r>
        <w:rPr>
          <w:rFonts w:ascii="等线(中文正文)" w:hAnsi="等线(中文正文)" w:cs="等线(中文正文)" w:eastAsia="等线(中文正文)"/>
          <w:b w:val="false"/>
          <w:i w:val="false"/>
          <w:sz w:val="20"/>
        </w:rPr>
        <w:t/>
      </w:r>
    </w:p>
    <w:p>
      <w:pPr>
        <w:pStyle w:val="ab"/>
        <w:numPr>
          <w:numId w:val="10"/>
        </w:numPr>
      </w:pPr>
      <w:r>
        <w:t>44:02 投资策略：跨市场经验与A股均衡管理</w:t>
      </w:r>
    </w:p>
    <w:p>
      <w:r>
        <w:rPr>
          <w:rFonts w:ascii="等线(中文正文)" w:hAnsi="等线(中文正文)" w:cs="等线(中文正文)" w:eastAsia="等线(中文正文)"/>
          <w:b w:val="false"/>
          <w:i w:val="false"/>
          <w:sz w:val="20"/>
        </w:rPr>
        <w:t>讨论了基于港股和台股市场的投资经验，如何在A股市场构建更加均衡和分散的投资组合，强调了低集中度和行业均衡配置的重要性，以及境外市场经验对A股投资策略的影响。</w:t>
      </w:r>
    </w:p>
    <w:p>
      <w:r>
        <w:rPr>
          <w:rFonts w:ascii="等线(中文正文)" w:hAnsi="等线(中文正文)" w:cs="等线(中文正文)" w:eastAsia="等线(中文正文)"/>
          <w:b w:val="false"/>
          <w:i w:val="false"/>
          <w:sz w:val="20"/>
        </w:rPr>
        <w:t/>
      </w:r>
    </w:p>
    <w:p>
      <w:pPr>
        <w:pStyle w:val="ab"/>
        <w:numPr>
          <w:numId w:val="11"/>
        </w:numPr>
      </w:pPr>
      <w:r>
        <w:t>45:42 港股投资经验助力A股核心卫星策略</w:t>
      </w:r>
    </w:p>
    <w:p>
      <w:r>
        <w:rPr>
          <w:rFonts w:ascii="等线(中文正文)" w:hAnsi="等线(中文正文)" w:cs="等线(中文正文)" w:eastAsia="等线(中文正文)"/>
          <w:b w:val="false"/>
          <w:i w:val="false"/>
          <w:sz w:val="20"/>
        </w:rPr>
        <w:t>对话探讨了将港股投资经验应用于A股核心资产选择的可行性，指出港股低估值与严格公司治理特点对A股有借鉴意义。随着互联互通机制的推进，A股核心资产估值体系正与港股接轨，H折溢价指数的收敛趋势明显。此外，海外市场对AI需求的先期发酵，使得海外投资经历对A股卫星资产选择及阿尔法寻找具有指导作用。</w:t>
      </w:r>
    </w:p>
    <w:p>
      <w:r>
        <w:rPr>
          <w:rFonts w:ascii="等线(中文正文)" w:hAnsi="等线(中文正文)" w:cs="等线(中文正文)" w:eastAsia="等线(中文正文)"/>
          <w:b w:val="false"/>
          <w:i w:val="false"/>
          <w:sz w:val="20"/>
        </w:rPr>
        <w:t/>
      </w:r>
    </w:p>
    <w:p>
      <w:pPr>
        <w:pStyle w:val="ab"/>
        <w:numPr>
          <w:numId w:val="12"/>
        </w:numPr>
      </w:pPr>
      <w:r>
        <w:t>48:23 境外市场挑战与华安权益产品表现分析</w:t>
      </w:r>
    </w:p>
    <w:p>
      <w:r>
        <w:rPr>
          <w:rFonts w:ascii="等线(中文正文)" w:hAnsi="等线(中文正文)" w:cs="等线(中文正文)" w:eastAsia="等线(中文正文)"/>
          <w:b w:val="false"/>
          <w:i w:val="false"/>
          <w:sz w:val="20"/>
        </w:rPr>
        <w:t>对话讨论了境外市场的竞争激烈程度，以及中国可能通过某些方法帮助挖掘优质资产。提及策略实施的试用期和持有时间对目标实现的影响。重点分析了华安管理的主动权益产品过往表现，强调了跑赢基准和阿尔法获取能力，展示了其在市场中的竞争优势。</w:t>
      </w:r>
    </w:p>
    <w:p>
      <w:r>
        <w:rPr>
          <w:rFonts w:ascii="等线(中文正文)" w:hAnsi="等线(中文正文)" w:cs="等线(中文正文)" w:eastAsia="等线(中文正文)"/>
          <w:b w:val="false"/>
          <w:i w:val="false"/>
          <w:sz w:val="20"/>
        </w:rPr>
        <w:t/>
      </w:r>
    </w:p>
    <w:p>
      <w:pPr>
        <w:pStyle w:val="ab"/>
        <w:numPr>
          <w:numId w:val="13"/>
        </w:numPr>
      </w:pPr>
      <w:r>
        <w:t>49:44 市场趋势与投资策略分享</w:t>
      </w:r>
    </w:p>
    <w:p>
      <w:r>
        <w:rPr>
          <w:rFonts w:ascii="等线(中文正文)" w:hAnsi="等线(中文正文)" w:cs="等线(中文正文)" w:eastAsia="等线(中文正文)"/>
          <w:b w:val="false"/>
          <w:i w:val="false"/>
          <w:sz w:val="20"/>
        </w:rPr>
        <w:t>对话围绕市场趋势与投资策略展开，首先介绍了某市场的特点，强调其自动管理能力及低于常规费率的优势，适合追求稳健投资的参与者。随后，讨论了上半年市场风格分化及AI产业趋势，指出AI及相关领域、医药、高端制造等存在投资机会。强调了对后市的信心，鼓励通过专业力量把握机会，实现资产稳健增值。最后，呼吁观众保持信任，参与互动，关注未来直播。</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他主持的直播节目主要聚焦于新兴金融产品——主动管理ETF（Active ETFs）的介绍与探讨。节目中，他首先邀请了华安基金的两位基金经理，苏圻涵和玉新户主，共同讨论主动管理ETF的特点、运作机制及其相对于传统被动管理ETF的优势。主动管理ETF不依赖指数被动跟踪，而是通过基金经理的主动选股能力追求超额回报，其核心优势在于交易灵活性、持仓透明度和相对较低的费率，为投资者提供了更好的投资体验和更高资金效率。他还分享了全球主动管理ETF的发展情况，特别是华安基金在该领域的初步尝试，以及以均衡或偏价值策略构建首批主动管理ETF的计划。此外，他还讨论了市场趋势、AI技术发展以及全球宏观经济因素对投资策略的影响，特别强调了对AI行业的看好，并指出了在市场波动中把握投资机会的重要性。整个讨论为投资者提供了关于金融产品创新和市场洞察的宝贵见解。</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问：什么是主动ETF，它是怎么运作的？</w:t>
      </w:r>
    </w:p>
    <w:p>
      <w:r>
        <w:rPr>
          <w:rFonts w:ascii="等线(中文正文)" w:hAnsi="等线(中文正文)" w:cs="等线(中文正文)" w:eastAsia="等线(中文正文)"/>
          <w:b w:val="false"/>
          <w:i w:val="false"/>
          <w:sz w:val="20"/>
        </w:rPr>
        <w:t>发言人1 答：主动ETF是国内创新的一种ETF类别，在2021年推出。不同于传统的被动管理型ETF（如沪深300 ETF），主动ETF不绑定任何基准指数，依靠基金经理的主动选股能力和团队的风险把控能力，在市场贝塔之上寻求获取超额阿尔法收益。其运作特点是结合了ETF的交易型属性，投资者可以在日内实时挂单和交易，并通过盘中实时净值（IOPV）了解基金的波动情况，提高了交易灵活性。</w:t>
      </w:r>
    </w:p>
    <w:p>
      <w:r>
        <w:rPr>
          <w:rFonts w:ascii="等线(中文正文)" w:hAnsi="等线(中文正文)" w:cs="等线(中文正文)" w:eastAsia="等线(中文正文)"/>
          <w:b w:val="false"/>
          <w:i w:val="false"/>
          <w:sz w:val="20"/>
        </w:rPr>
        <w:t/>
      </w:r>
    </w:p>
    <w:p>
      <w:pPr>
        <w:pStyle w:val="ab"/>
      </w:pPr>
      <w:r>
        <w:t>发言人1 问：主动ETF如何体现其交易属性和优势？</w:t>
      </w:r>
    </w:p>
    <w:p>
      <w:r>
        <w:rPr>
          <w:rFonts w:ascii="等线(中文正文)" w:hAnsi="等线(中文正文)" w:cs="等线(中文正文)" w:eastAsia="等线(中文正文)"/>
          <w:b w:val="false"/>
          <w:i w:val="false"/>
          <w:sz w:val="20"/>
        </w:rPr>
        <w:t>发言人1 答：主动ETF通过每日制作并公布持仓清单（PCF清单），让投资者能够清晰了解到每一份资金对应的投资标的及其底层资产。这种高度透明性和实时交易能力使得主动ETF更符合证券账户投资者在日内择时操作的需求，同时降低了信息不对称带来的投资风险，提升了资金效率和整体交易体验。</w:t>
      </w:r>
    </w:p>
    <w:p>
      <w:r>
        <w:rPr>
          <w:rFonts w:ascii="等线(中文正文)" w:hAnsi="等线(中文正文)" w:cs="等线(中文正文)" w:eastAsia="等线(中文正文)"/>
          <w:b w:val="false"/>
          <w:i w:val="false"/>
          <w:sz w:val="20"/>
        </w:rPr>
        <w:t/>
      </w:r>
    </w:p>
    <w:p>
      <w:pPr>
        <w:pStyle w:val="ab"/>
      </w:pPr>
      <w:r>
        <w:t>发言人1 问：主动ETF相比场外主动管理型基金有哪些优势？</w:t>
      </w:r>
    </w:p>
    <w:p>
      <w:r>
        <w:rPr>
          <w:rFonts w:ascii="等线(中文正文)" w:hAnsi="等线(中文正文)" w:cs="等线(中文正文)" w:eastAsia="等线(中文正文)"/>
          <w:b w:val="false"/>
          <w:i w:val="false"/>
          <w:sz w:val="20"/>
        </w:rPr>
        <w:t>发言人1 答：主动ETF的优势体现在多个方面：首先，它利用主动基金经理的专业能力挖掘市场超额收益；其次，其交易灵活性高，投资者可在交易日内的任何时间进行买卖；再者，持仓透明度更高，每日都会公布完整的持仓清单（PCF清单），方便投资者随时查看基金的具体持仓情况；最后，在费率上相比场外主动管理型基金有优势，通常只收取管理费率和券商佣金费用，不产生申购赎回费，整体综合费率较低。</w:t>
      </w:r>
    </w:p>
    <w:p>
      <w:r>
        <w:rPr>
          <w:rFonts w:ascii="等线(中文正文)" w:hAnsi="等线(中文正文)" w:cs="等线(中文正文)" w:eastAsia="等线(中文正文)"/>
          <w:b w:val="false"/>
          <w:i w:val="false"/>
          <w:sz w:val="20"/>
        </w:rPr>
        <w:t/>
      </w:r>
    </w:p>
    <w:p>
      <w:pPr>
        <w:pStyle w:val="ab"/>
      </w:pPr>
      <w:r>
        <w:t>发言人1 问：从全球视角来看，主动ETF在海外主要有哪些细分品类，以及它们以往的业绩表现如何？</w:t>
      </w:r>
    </w:p>
    <w:p>
      <w:r>
        <w:rPr>
          <w:rFonts w:ascii="等线(中文正文)" w:hAnsi="等线(中文正文)" w:cs="等线(中文正文)" w:eastAsia="等线(中文正文)"/>
          <w:b w:val="false"/>
          <w:i w:val="false"/>
          <w:sz w:val="20"/>
        </w:rPr>
        <w:t>发言人1 答：在全球范围内，主动ETF细分品类较多，且发展成熟。其中，第一支主动型ETF于2008年在美国推出，历经近20年的发展。2020年，在疫情冲击下美股市场的大幅波动中，主动管理型ETF凭借重仓科技股取得亮眼收益，从而受到投资者青睐。目前，在美国市场，主动型ETF数量已超过被动型ETF，并且规模也逐渐接近被动型ETF，显示出主被动投资结合的发展趋势。</w:t>
      </w:r>
    </w:p>
    <w:p>
      <w:r>
        <w:rPr>
          <w:rFonts w:ascii="等线(中文正文)" w:hAnsi="等线(中文正文)" w:cs="等线(中文正文)" w:eastAsia="等线(中文正文)"/>
          <w:b w:val="false"/>
          <w:i w:val="false"/>
          <w:sz w:val="20"/>
        </w:rPr>
        <w:t/>
      </w:r>
    </w:p>
    <w:p>
      <w:pPr>
        <w:pStyle w:val="ab"/>
      </w:pPr>
      <w:r>
        <w:t>发言人1 问：在美国市场中，主动型ETF为何能成为投资者喜闻乐见的投资品种？</w:t>
      </w:r>
    </w:p>
    <w:p>
      <w:r>
        <w:rPr>
          <w:rFonts w:ascii="等线(中文正文)" w:hAnsi="等线(中文正文)" w:cs="等线(中文正文)" w:eastAsia="等线(中文正文)"/>
          <w:b w:val="false"/>
          <w:i w:val="false"/>
          <w:sz w:val="20"/>
        </w:rPr>
        <w:t>发言人1 答：主动型ETF在美国市场的崛起得益于其兼具场内交易灵活性和主动基金管理人的选股阿尔法优势，能够满足投资者对于日内实时操作及获取超越市场收益的需求。</w:t>
      </w:r>
    </w:p>
    <w:p>
      <w:r>
        <w:rPr>
          <w:rFonts w:ascii="等线(中文正文)" w:hAnsi="等线(中文正文)" w:cs="等线(中文正文)" w:eastAsia="等线(中文正文)"/>
          <w:b w:val="false"/>
          <w:i w:val="false"/>
          <w:sz w:val="20"/>
        </w:rPr>
        <w:t/>
      </w:r>
    </w:p>
    <w:p>
      <w:pPr>
        <w:pStyle w:val="ab"/>
      </w:pPr>
      <w:r>
        <w:t>发言人1 问：首批18只主动型ETF命名关键词有何特点？</w:t>
      </w:r>
    </w:p>
    <w:p>
      <w:r>
        <w:rPr>
          <w:rFonts w:ascii="等线(中文正文)" w:hAnsi="等线(中文正文)" w:cs="等线(中文正文)" w:eastAsia="等线(中文正文)"/>
          <w:b w:val="false"/>
          <w:i w:val="false"/>
          <w:sz w:val="20"/>
        </w:rPr>
        <w:t>发言人1 答：首批主动型ETF命名多偏向于价值红利和均衡，适应当前A股市场波动较大，科技面临回撤压力的环境，适合普通投资者进行均衡布局。</w:t>
      </w:r>
    </w:p>
    <w:p>
      <w:r>
        <w:rPr>
          <w:rFonts w:ascii="等线(中文正文)" w:hAnsi="等线(中文正文)" w:cs="等线(中文正文)" w:eastAsia="等线(中文正文)"/>
          <w:b w:val="false"/>
          <w:i w:val="false"/>
          <w:sz w:val="20"/>
        </w:rPr>
        <w:t/>
      </w:r>
    </w:p>
    <w:p>
      <w:pPr>
        <w:pStyle w:val="ab"/>
      </w:pPr>
      <w:r>
        <w:t>发言人1 问：在国内，主动型ETF的发展情况如何？</w:t>
      </w:r>
    </w:p>
    <w:p>
      <w:r>
        <w:rPr>
          <w:rFonts w:ascii="等线(中文正文)" w:hAnsi="等线(中文正文)" w:cs="等线(中文正文)" w:eastAsia="等线(中文正文)"/>
          <w:b w:val="false"/>
          <w:i w:val="false"/>
          <w:sz w:val="20"/>
        </w:rPr>
        <w:t>发言人1 答：国内市场上，被动型ETF正逐渐过渡到增强型ETF，而主动型ETF则在增强型ETF的基础上更进一步，通过构建主动管理组合以追求超越市场的投资收益，符合国内投资人对超额收益和场内灵活交易的需求。</w:t>
      </w:r>
    </w:p>
    <w:p>
      <w:r>
        <w:rPr>
          <w:rFonts w:ascii="等线(中文正文)" w:hAnsi="等线(中文正文)" w:cs="等线(中文正文)" w:eastAsia="等线(中文正文)"/>
          <w:b w:val="false"/>
          <w:i w:val="false"/>
          <w:sz w:val="20"/>
        </w:rPr>
        <w:t/>
      </w:r>
    </w:p>
    <w:p>
      <w:pPr>
        <w:pStyle w:val="ab"/>
      </w:pPr>
      <w:r>
        <w:t>发言人1 问：主动型ETF在资金效率方面有何优势？</w:t>
      </w:r>
    </w:p>
    <w:p>
      <w:r>
        <w:rPr>
          <w:rFonts w:ascii="等线(中文正文)" w:hAnsi="等线(中文正文)" w:cs="等线(中文正文)" w:eastAsia="等线(中文正文)"/>
          <w:b w:val="false"/>
          <w:i w:val="false"/>
          <w:sz w:val="20"/>
        </w:rPr>
        <w:t>发言人1 答：相较于场外基金，主动型ETF可以实现T+0的资金到账与交易，极大提升了资金效率，同时基金经理仓位控制更为灵活，且填补了国内市场同类产品的空白。</w:t>
      </w:r>
    </w:p>
    <w:p>
      <w:r>
        <w:rPr>
          <w:rFonts w:ascii="等线(中文正文)" w:hAnsi="等线(中文正文)" w:cs="等线(中文正文)" w:eastAsia="等线(中文正文)"/>
          <w:b w:val="false"/>
          <w:i w:val="false"/>
          <w:sz w:val="20"/>
        </w:rPr>
        <w:t/>
      </w:r>
    </w:p>
    <w:p>
      <w:pPr>
        <w:pStyle w:val="ab"/>
      </w:pPr>
      <w:r>
        <w:t>发言人1 问：国内外主动型ETF产品形式有何差异？</w:t>
      </w:r>
    </w:p>
    <w:p>
      <w:r>
        <w:rPr>
          <w:rFonts w:ascii="等线(中文正文)" w:hAnsi="等线(中文正文)" w:cs="等线(中文正文)" w:eastAsia="等线(中文正文)"/>
          <w:b w:val="false"/>
          <w:i w:val="false"/>
          <w:sz w:val="20"/>
        </w:rPr>
        <w:t>发言人1 答：海外主动型ETF产品形式更为多元，得益于成熟的市场环境和监管政策，有更多的特定主题和创新概念可供选择。而国内目前仍处于发展初期，首批产品较为均衡，旨在提供普惠性和交易性的投资工具，未来随着产品丰富将提供更多策略和赛道供投资者选择。</w:t>
      </w:r>
    </w:p>
    <w:p>
      <w:r>
        <w:rPr>
          <w:rFonts w:ascii="等线(中文正文)" w:hAnsi="等线(中文正文)" w:cs="等线(中文正文)" w:eastAsia="等线(中文正文)"/>
          <w:b w:val="false"/>
          <w:i w:val="false"/>
          <w:sz w:val="20"/>
        </w:rPr>
        <w:t/>
      </w:r>
    </w:p>
    <w:p>
      <w:pPr>
        <w:pStyle w:val="ab"/>
      </w:pPr>
      <w:r>
        <w:t>发言人1 问：如何评价和挑选主动型ETF产品？</w:t>
      </w:r>
    </w:p>
    <w:p>
      <w:r>
        <w:rPr>
          <w:rFonts w:ascii="等线(中文正文)" w:hAnsi="等线(中文正文)" w:cs="等线(中文正文)" w:eastAsia="等线(中文正文)"/>
          <w:b w:val="false"/>
          <w:i w:val="false"/>
          <w:sz w:val="20"/>
        </w:rPr>
        <w:t>发言人1 答：评价和挑选主动型ETF时，重点考察基金的主动管理能力，包括基金经理对行业和产业的观点，以及投资风格和策略。同时，也需要关注整个ETF团队的运营能力、风险管理能力和系统化建设水平。</w:t>
      </w:r>
    </w:p>
    <w:p>
      <w:r>
        <w:rPr>
          <w:rFonts w:ascii="等线(中文正文)" w:hAnsi="等线(中文正文)" w:cs="等线(中文正文)" w:eastAsia="等线(中文正文)"/>
          <w:b w:val="false"/>
          <w:i w:val="false"/>
          <w:sz w:val="20"/>
        </w:rPr>
        <w:t/>
      </w:r>
    </w:p>
    <w:p>
      <w:pPr>
        <w:pStyle w:val="ab"/>
      </w:pPr>
      <w:r>
        <w:t>发言人1 问：华安基金在主动型ETF运营方面有何优势？</w:t>
      </w:r>
    </w:p>
    <w:p>
      <w:r>
        <w:rPr>
          <w:rFonts w:ascii="等线(中文正文)" w:hAnsi="等线(中文正文)" w:cs="等线(中文正文)" w:eastAsia="等线(中文正文)"/>
          <w:b w:val="false"/>
          <w:i w:val="false"/>
          <w:sz w:val="20"/>
        </w:rPr>
        <w:t>发言人1 答：华安基金拥有业内领先的指数产品设计、运营和管理经验，其指数量化团队具备成熟的制度把控、风险管理及ETF清单管理能力，成功管理着包括增强型ETF在内的多只产品，并保持业内前十的ETF管理规模。</w:t>
      </w:r>
    </w:p>
    <w:p>
      <w:r>
        <w:rPr>
          <w:rFonts w:ascii="等线(中文正文)" w:hAnsi="等线(中文正文)" w:cs="等线(中文正文)" w:eastAsia="等线(中文正文)"/>
          <w:b w:val="false"/>
          <w:i w:val="false"/>
          <w:sz w:val="20"/>
        </w:rPr>
        <w:t/>
      </w:r>
    </w:p>
    <w:p>
      <w:pPr>
        <w:pStyle w:val="ab"/>
      </w:pPr>
      <w:r>
        <w:t>发言人1 问：在挑选主动型ETF时，投资者应首先关注哪些方面？</w:t>
      </w:r>
    </w:p>
    <w:p>
      <w:r>
        <w:rPr>
          <w:rFonts w:ascii="等线(中文正文)" w:hAnsi="等线(中文正文)" w:cs="等线(中文正文)" w:eastAsia="等线(中文正文)"/>
          <w:b w:val="false"/>
          <w:i w:val="false"/>
          <w:sz w:val="20"/>
        </w:rPr>
        <w:t>发言人1 答：投资者在挑选主动型ETF时，首先要评估整个公司及ETF运营团队对该产品的风险控制能力和运营水平，包括流动性管理、申购赎回摩擦成本等。其次，需要考量基金经理的主动投研观点和管理能力。</w:t>
      </w:r>
    </w:p>
    <w:p>
      <w:r>
        <w:rPr>
          <w:rFonts w:ascii="等线(中文正文)" w:hAnsi="等线(中文正文)" w:cs="等线(中文正文)" w:eastAsia="等线(中文正文)"/>
          <w:b w:val="false"/>
          <w:i w:val="false"/>
          <w:sz w:val="20"/>
        </w:rPr>
        <w:t/>
      </w:r>
    </w:p>
    <w:p>
      <w:pPr>
        <w:pStyle w:val="ab"/>
      </w:pPr>
      <w:r>
        <w:t>发言人1 问：近期市场行情有哪些值得关注的风险点和趋势？</w:t>
      </w:r>
    </w:p>
    <w:p>
      <w:r>
        <w:rPr>
          <w:rFonts w:ascii="等线(中文正文)" w:hAnsi="等线(中文正文)" w:cs="等线(中文正文)" w:eastAsia="等线(中文正文)"/>
          <w:b w:val="false"/>
          <w:i w:val="false"/>
          <w:sz w:val="20"/>
        </w:rPr>
        <w:t>发言人1 答：近期市场波动主要受海外风险因素向国内传导的影响，特别是地缘政治风险导致油价上行，进而对美国通胀造成压力，市场对于年内美联储加息预期增强。不过，华安基金认为年内美联储加息可能性较小，因为美国核心通胀已经见底，且能源供需层面不支持油价维持高位。此外，美国经济增长呈现二元分化结构，以AI基建为导向的投资保持增长，但居民消费和就业有所走弱，这也使得美联储加息的可能性降低。</w:t>
      </w:r>
    </w:p>
    <w:p>
      <w:r>
        <w:rPr>
          <w:rFonts w:ascii="等线(中文正文)" w:hAnsi="等线(中文正文)" w:cs="等线(中文正文)" w:eastAsia="等线(中文正文)"/>
          <w:b w:val="false"/>
          <w:i w:val="false"/>
          <w:sz w:val="20"/>
        </w:rPr>
        <w:t/>
      </w:r>
    </w:p>
    <w:p>
      <w:pPr>
        <w:pStyle w:val="ab"/>
      </w:pPr>
      <w:r>
        <w:t>发言人1 问：对于AI领域的发展趋势，目前是否存在变化或调整？</w:t>
      </w:r>
    </w:p>
    <w:p>
      <w:r>
        <w:rPr>
          <w:rFonts w:ascii="等线(中文正文)" w:hAnsi="等线(中文正文)" w:cs="等线(中文正文)" w:eastAsia="等线(中文正文)"/>
          <w:b w:val="false"/>
          <w:i w:val="false"/>
          <w:sz w:val="20"/>
        </w:rPr>
        <w:t>发言人1 答：目前AI领域确实存在宏观叙事上的松动，表现为国内外大模型厂商通过价格战争夺市场，导致预期增长放缓甚至出现负增长预期，传导至AI产业链上预增长预期放缓，引发了前期AI产业链的大规模调整。但这一负向逻辑忽略了两点：一是万亿参数以下的大模型仍有性能提升空间，若同质化被打破，价格战将不再成立；二是AI应用端在科学研究、金融、办公等领域正快速渗透，这为AI capex后续预期调升提供了支撑。</w:t>
      </w:r>
    </w:p>
    <w:p>
      <w:r>
        <w:rPr>
          <w:rFonts w:ascii="等线(中文正文)" w:hAnsi="等线(中文正文)" w:cs="等线(中文正文)" w:eastAsia="等线(中文正文)"/>
          <w:b w:val="false"/>
          <w:i w:val="false"/>
          <w:sz w:val="20"/>
        </w:rPr>
        <w:t/>
      </w:r>
    </w:p>
    <w:p>
      <w:pPr>
        <w:pStyle w:val="ab"/>
      </w:pPr>
      <w:r>
        <w:t>发言人1 问：AI大模型目前所处的宏观叙事阶段是怎样的情况，是否会有显著放缓？市场调整因素中，韩国杠杆问题的影响如何？</w:t>
      </w:r>
    </w:p>
    <w:p>
      <w:r>
        <w:rPr>
          <w:rFonts w:ascii="等线(中文正文)" w:hAnsi="等线(中文正文)" w:cs="等线(中文正文)" w:eastAsia="等线(中文正文)"/>
          <w:b w:val="false"/>
          <w:i w:val="false"/>
          <w:sz w:val="20"/>
        </w:rPr>
        <w:t>发言人1 答：我们认为AI大模型的宏观叙事阶段性的放缓可能是暂时的，因为当前AI整体渗透率远低于30%的成熟行业标准，距离行业渗透率周期顶点还有相当距离。下半年AI产业链的投资主线预计会回归。经过接近40%的跌幅后，韩国杠杆率已回到六月初的起点水平，解杠杆进程已完成大半。结合市场调整因素和杠杆情况分析，预计后续市场会有改善走势。</w:t>
      </w:r>
    </w:p>
    <w:p>
      <w:r>
        <w:rPr>
          <w:rFonts w:ascii="等线(中文正文)" w:hAnsi="等线(中文正文)" w:cs="等线(中文正文)" w:eastAsia="等线(中文正文)"/>
          <w:b w:val="false"/>
          <w:i w:val="false"/>
          <w:sz w:val="20"/>
        </w:rPr>
        <w:t/>
      </w:r>
    </w:p>
    <w:p>
      <w:pPr>
        <w:pStyle w:val="ab"/>
      </w:pPr>
      <w:r>
        <w:t>发言人1 问：对于下半年A股市场的流动性情况有何看法？</w:t>
      </w:r>
    </w:p>
    <w:p>
      <w:r>
        <w:rPr>
          <w:rFonts w:ascii="等线(中文正文)" w:hAnsi="等线(中文正文)" w:cs="等线(中文正文)" w:eastAsia="等线(中文正文)"/>
          <w:b w:val="false"/>
          <w:i w:val="false"/>
          <w:sz w:val="20"/>
        </w:rPr>
        <w:t>发言人1 答：上半年由于稳健的货币政策和财政政策，A股流动性充裕，主要来源于高增速出口导致的出口结汇形成的外汇占款投放。下半年若经济结构保持K型走势（出口一枝独秀，内需平稳），出口结汇将对结构性牛市提供流动性支持。</w:t>
      </w:r>
    </w:p>
    <w:p>
      <w:r>
        <w:rPr>
          <w:rFonts w:ascii="等线(中文正文)" w:hAnsi="等线(中文正文)" w:cs="等线(中文正文)" w:eastAsia="等线(中文正文)"/>
          <w:b w:val="false"/>
          <w:i w:val="false"/>
          <w:sz w:val="20"/>
        </w:rPr>
        <w:t/>
      </w:r>
    </w:p>
    <w:p>
      <w:pPr>
        <w:pStyle w:val="ab"/>
      </w:pPr>
      <w:r>
        <w:t>发言人1 问：估值层面，目前A股市场的估值情况如何？</w:t>
      </w:r>
    </w:p>
    <w:p>
      <w:r>
        <w:rPr>
          <w:rFonts w:ascii="等线(中文正文)" w:hAnsi="等线(中文正文)" w:cs="等线(中文正文)" w:eastAsia="等线(中文正文)"/>
          <w:b w:val="false"/>
          <w:i w:val="false"/>
          <w:sz w:val="20"/>
        </w:rPr>
        <w:t>发言人1 答：经过本轮调整，A股整体估值已回归合理水平，无论是纵向PEPB估值还是横向与固定资产类及十年期国债税率的风险比较，都处于均值以上，为下半年结构性行情提供了上涨空间。</w:t>
      </w:r>
    </w:p>
    <w:p>
      <w:r>
        <w:rPr>
          <w:rFonts w:ascii="等线(中文正文)" w:hAnsi="等线(中文正文)" w:cs="等线(中文正文)" w:eastAsia="等线(中文正文)"/>
          <w:b w:val="false"/>
          <w:i w:val="false"/>
          <w:sz w:val="20"/>
        </w:rPr>
        <w:t/>
      </w:r>
    </w:p>
    <w:p>
      <w:pPr>
        <w:pStyle w:val="ab"/>
      </w:pPr>
      <w:r>
        <w:t>发言人1 问：对于年内加息担忧及上海运营计划的看法是什么？</w:t>
      </w:r>
    </w:p>
    <w:p>
      <w:r>
        <w:rPr>
          <w:rFonts w:ascii="等线(中文正文)" w:hAnsi="等线(中文正文)" w:cs="等线(中文正文)" w:eastAsia="等线(中文正文)"/>
          <w:b w:val="false"/>
          <w:i w:val="false"/>
          <w:sz w:val="20"/>
        </w:rPr>
        <w:t>发言人1 答：不必担心年内加息问题，尤其是针对复工业的问题。同时，上海运营计划对今年6月份水平的悲观预期有所反应。</w:t>
      </w:r>
    </w:p>
    <w:p>
      <w:r>
        <w:rPr>
          <w:rFonts w:ascii="等线(中文正文)" w:hAnsi="等线(中文正文)" w:cs="等线(中文正文)" w:eastAsia="等线(中文正文)"/>
          <w:b w:val="false"/>
          <w:i w:val="false"/>
          <w:sz w:val="20"/>
        </w:rPr>
        <w:t/>
      </w:r>
    </w:p>
    <w:p>
      <w:pPr>
        <w:pStyle w:val="ab"/>
      </w:pPr>
      <w:r>
        <w:t>发言人1 问：在AI投资方面，为何更看好海外链而非国产产业链？</w:t>
      </w:r>
    </w:p>
    <w:p>
      <w:r>
        <w:rPr>
          <w:rFonts w:ascii="等线(中文正文)" w:hAnsi="等线(中文正文)" w:cs="等线(中文正文)" w:eastAsia="等线(中文正文)"/>
          <w:b w:val="false"/>
          <w:i w:val="false"/>
          <w:sz w:val="20"/>
        </w:rPr>
        <w:t>发言人1 答：现阶段从盈利确定性角度出发，海外AI产业链相对优于国产链，且更看好AI硬件领域，因为大模型厂商在模型同质化程度较高下，AI硬件的需求增长强劲，即使存在价格战，硬件投资仍将持续增长。</w:t>
      </w:r>
    </w:p>
    <w:p>
      <w:r>
        <w:rPr>
          <w:rFonts w:ascii="等线(中文正文)" w:hAnsi="等线(中文正文)" w:cs="等线(中文正文)" w:eastAsia="等线(中文正文)"/>
          <w:b w:val="false"/>
          <w:i w:val="false"/>
          <w:sz w:val="20"/>
        </w:rPr>
        <w:t/>
      </w:r>
    </w:p>
    <w:p>
      <w:pPr>
        <w:pStyle w:val="ab"/>
      </w:pPr>
      <w:r>
        <w:t>发言人1 问：对于云端和端侧AI投资的选择有何建议？</w:t>
      </w:r>
    </w:p>
    <w:p>
      <w:r>
        <w:rPr>
          <w:rFonts w:ascii="等线(中文正文)" w:hAnsi="等线(中文正文)" w:cs="等线(中文正文)" w:eastAsia="等线(中文正文)"/>
          <w:b w:val="false"/>
          <w:i w:val="false"/>
          <w:sz w:val="20"/>
        </w:rPr>
        <w:t>发言人1 答：现阶段更偏向于云端AI投资，尽管端侧AI设备和应用有发展空间，但受限于上游产业链成本增速，投资机会可能不如云端。综合考虑，海外确定性大于国产链，云端大于端测，硬件大于软件。</w:t>
      </w:r>
    </w:p>
    <w:p>
      <w:r>
        <w:rPr>
          <w:rFonts w:ascii="等线(中文正文)" w:hAnsi="等线(中文正文)" w:cs="等线(中文正文)" w:eastAsia="等线(中文正文)"/>
          <w:b w:val="false"/>
          <w:i w:val="false"/>
          <w:sz w:val="20"/>
        </w:rPr>
        <w:t/>
      </w:r>
    </w:p>
    <w:p>
      <w:pPr>
        <w:pStyle w:val="ab"/>
      </w:pPr>
      <w:r>
        <w:t>发言人1 问：在下半年，以科技成长为主线的结构性牛市是否还会延续，特别是在AI板块由于市场拥挤度高导致资金外溢的情况下？</w:t>
      </w:r>
    </w:p>
    <w:p>
      <w:r>
        <w:rPr>
          <w:rFonts w:ascii="等线(中文正文)" w:hAnsi="等线(中文正文)" w:cs="等线(中文正文)" w:eastAsia="等线(中文正文)"/>
          <w:b w:val="false"/>
          <w:i w:val="false"/>
          <w:sz w:val="20"/>
        </w:rPr>
        <w:t>发言人1 答：我们认为，在经济结构不变的情况下，下半年科技成长板块尤其是AI板块的结构性牛市仍然可能继续。资金外溢至其他板块时，我们会寻找基本面有支持的标的，目前比较看好能承接这波资金溢出的创新药板块，如CRO和CDMO等。</w:t>
      </w:r>
    </w:p>
    <w:p>
      <w:r>
        <w:rPr>
          <w:rFonts w:ascii="等线(中文正文)" w:hAnsi="等线(中文正文)" w:cs="等线(中文正文)" w:eastAsia="等线(中文正文)"/>
          <w:b w:val="false"/>
          <w:i w:val="false"/>
          <w:sz w:val="20"/>
        </w:rPr>
        <w:t/>
      </w:r>
    </w:p>
    <w:p>
      <w:pPr>
        <w:pStyle w:val="ab"/>
      </w:pPr>
      <w:r>
        <w:t>发言人1 问：对于创新药板块，其盈利增长预测情况如何？以及它在上半年的表现如何？</w:t>
      </w:r>
    </w:p>
    <w:p>
      <w:r>
        <w:rPr>
          <w:rFonts w:ascii="等线(中文正文)" w:hAnsi="等线(中文正文)" w:cs="等线(中文正文)" w:eastAsia="等线(中文正文)"/>
          <w:b w:val="false"/>
          <w:i w:val="false"/>
          <w:sz w:val="20"/>
        </w:rPr>
        <w:t>发言人1 答：创新药板块在上半年及全年盈利增长预测强劲，已公布业绩的CRO和药品公司盈利增长基本在20%以上。然而，由于国内医疗反腐及创新药海外授权政策扰动，创新药板块上半年经历了估值下降，但其基本面的确定性仍然较强。</w:t>
      </w:r>
    </w:p>
    <w:p>
      <w:r>
        <w:rPr>
          <w:rFonts w:ascii="等线(中文正文)" w:hAnsi="等线(中文正文)" w:cs="等线(中文正文)" w:eastAsia="等线(中文正文)"/>
          <w:b w:val="false"/>
          <w:i w:val="false"/>
          <w:sz w:val="20"/>
        </w:rPr>
        <w:t/>
      </w:r>
    </w:p>
    <w:p>
      <w:pPr>
        <w:pStyle w:val="ab"/>
      </w:pPr>
      <w:r>
        <w:t>发言人1 问：接下来有哪些行业能作为资金外溢的目标，并保持盈利成长的确定性？</w:t>
      </w:r>
    </w:p>
    <w:p>
      <w:r>
        <w:rPr>
          <w:rFonts w:ascii="等线(中文正文)" w:hAnsi="等线(中文正文)" w:cs="等线(中文正文)" w:eastAsia="等线(中文正文)"/>
          <w:b w:val="false"/>
          <w:i w:val="false"/>
          <w:sz w:val="20"/>
        </w:rPr>
        <w:t>发言人1 答：除了AI板块外，我们还看好出口导向型的高端制造行业，如重卡、工程机械、客车及全地形车等，这些行业下半年外需大于内需的趋势预计将延续，从而保证其盈利增速。此外，券商保险等非银板块也是我们关注的对象，因其上半年业绩超预期且下半年有望摆脱估值压力，盈利增长确定性也较强。</w:t>
      </w:r>
    </w:p>
    <w:p>
      <w:r>
        <w:rPr>
          <w:rFonts w:ascii="等线(中文正文)" w:hAnsi="等线(中文正文)" w:cs="等线(中文正文)" w:eastAsia="等线(中文正文)"/>
          <w:b w:val="false"/>
          <w:i w:val="false"/>
          <w:sz w:val="20"/>
        </w:rPr>
        <w:t/>
      </w:r>
    </w:p>
    <w:p>
      <w:pPr>
        <w:pStyle w:val="ab"/>
      </w:pPr>
      <w:r>
        <w:t>发言人1 问：华安行业申报中的主动ETF产品策略设计将如何进行？</w:t>
      </w:r>
    </w:p>
    <w:p>
      <w:r>
        <w:rPr>
          <w:rFonts w:ascii="等线(中文正文)" w:hAnsi="等线(中文正文)" w:cs="等线(中文正文)" w:eastAsia="等线(中文正文)"/>
          <w:b w:val="false"/>
          <w:i w:val="false"/>
          <w:sz w:val="20"/>
        </w:rPr>
        <w:t>发言人1 答：华安行业主动ETF产品将采用核心-卫星策略。核心资产配置于高分红、低波动、高LE的优质大市值防御资产，通过多因子选股策略提供smart beta回报以稳定组合净值。卫星资产则运用景气赛道自上而下与自下而上的投资策略寻找成长确定性高、估值合理的资产，以获取超越市场的阿尔法收益。同时，根据行业轮动强度指标调整核心资产和卫星资产配置比例，灵活应对市场行情变化，实现组合的稳定增值和超额收益捕捉。</w:t>
      </w:r>
    </w:p>
    <w:p>
      <w:r>
        <w:rPr>
          <w:rFonts w:ascii="等线(中文正文)" w:hAnsi="等线(中文正文)" w:cs="等线(中文正文)" w:eastAsia="等线(中文正文)"/>
          <w:b w:val="false"/>
          <w:i w:val="false"/>
          <w:sz w:val="20"/>
        </w:rPr>
        <w:t/>
      </w:r>
    </w:p>
    <w:p>
      <w:pPr>
        <w:pStyle w:val="ab"/>
      </w:pPr>
      <w:r>
        <w:t>发言人1 问：能否分享一下您关于投资理念和经验，帮助观众构建投资参考曲线？</w:t>
      </w:r>
    </w:p>
    <w:p>
      <w:r>
        <w:rPr>
          <w:rFonts w:ascii="等线(中文正文)" w:hAnsi="等线(中文正文)" w:cs="等线(中文正文)" w:eastAsia="等线(中文正文)"/>
          <w:b w:val="false"/>
          <w:i w:val="false"/>
          <w:sz w:val="20"/>
        </w:rPr>
        <w:t>发言人1 答：在长期的投资实践中，我们始终坚持在合理估值前提下，寻找稳定成长或较大成长空间的资产进行选股和组合构建。这一理念和方法是我们过往成功管理基金的重要经验之一。</w:t>
      </w:r>
    </w:p>
    <w:p>
      <w:r>
        <w:rPr>
          <w:rFonts w:ascii="等线(中文正文)" w:hAnsi="等线(中文正文)" w:cs="等线(中文正文)" w:eastAsia="等线(中文正文)"/>
          <w:b w:val="false"/>
          <w:i w:val="false"/>
          <w:sz w:val="20"/>
        </w:rPr>
        <w:t/>
      </w:r>
    </w:p>
    <w:p>
      <w:pPr>
        <w:pStyle w:val="ab"/>
      </w:pPr>
      <w:r>
        <w:t>发言人1 问：在投资中，大策略如何避免低估值和追高陷阱？对于读者而言，如何评估投资策略的有效性？</w:t>
      </w:r>
    </w:p>
    <w:p>
      <w:r>
        <w:rPr>
          <w:rFonts w:ascii="等线(中文正文)" w:hAnsi="等线(中文正文)" w:cs="等线(中文正文)" w:eastAsia="等线(中文正文)"/>
          <w:b w:val="false"/>
          <w:i w:val="false"/>
          <w:sz w:val="20"/>
        </w:rPr>
        <w:t>发言人1 答：大策略通过避免纯粹依赖静态低估值进行投资，以及采用gap策略来防止追高或追风的投资行为。其基本前提要求估值合理，特别是对成长股的估值，从而有效防止在过往投资中出现追风和追高的情况。评估投资策略有效性时，需要查看公开透明的产品表现，如华安的主动权益产品，在separation或二维码等方面的业绩对比基准，通常能取得跑赢市场指数的表现，并在获取阿尔法方面也表现不俗。</w:t>
      </w:r>
    </w:p>
    <w:p>
      <w:r>
        <w:rPr>
          <w:rFonts w:ascii="等线(中文正文)" w:hAnsi="等线(中文正文)" w:cs="等线(中文正文)" w:eastAsia="等线(中文正文)"/>
          <w:b w:val="false"/>
          <w:i w:val="false"/>
          <w:sz w:val="20"/>
        </w:rPr>
        <w:t/>
      </w:r>
    </w:p>
    <w:p>
      <w:pPr>
        <w:pStyle w:val="ab"/>
      </w:pPr>
      <w:r>
        <w:t>发言人1 问：港股市场的投资经验如何有助于A股市场的投资管理？境外市场对于卫星资产配置有何启示？</w:t>
      </w:r>
    </w:p>
    <w:p>
      <w:r>
        <w:rPr>
          <w:rFonts w:ascii="等线(中文正文)" w:hAnsi="等线(中文正文)" w:cs="等线(中文正文)" w:eastAsia="等线(中文正文)"/>
          <w:b w:val="false"/>
          <w:i w:val="false"/>
          <w:sz w:val="20"/>
        </w:rPr>
        <w:t>发言人1 答：港股市场的投资经验，如注重低估值、严格交易制度和上市公司质量治理标准，可以借鉴并应用到A股的核心资产选择上。随着A股与港股互联互动机制的加强，核心资产的估值体系正在快速接轨，例如H折溢价指数的收敛现象，表明港股投资经验对A股核心资产的选择具有较大帮助。境外市场的国际化视野有助于卫星资产的配置。以本轮AI行情为例，海外市场需求率先发酵，相关映射行情在全球范围内明显，如美股、台股、日股、韩股等市场的行情变化为A股提供了参考。早布局海外供应链紧缺环节的A股基金也因此受益，这证明了海外投资经验对于寻找卫星资产和阿尔法的有效性。</w:t>
      </w:r>
    </w:p>
    <w:p>
      <w:r>
        <w:rPr>
          <w:rFonts w:ascii="等线(中文正文)" w:hAnsi="等线(中文正文)" w:cs="等线(中文正文)" w:eastAsia="等线(中文正文)"/>
          <w:b w:val="false"/>
          <w:i w:val="false"/>
          <w:sz w:val="20"/>
        </w:rPr>
        <w:t/>
      </w:r>
    </w:p>
    <w:p>
      <w:pPr>
        <w:pStyle w:val="ab"/>
      </w:pPr>
      <w:r>
        <w:t>发言人1 问：对于下半年市场展望，有哪些投资机会值得关注？</w:t>
      </w:r>
    </w:p>
    <w:p>
      <w:r>
        <w:rPr>
          <w:rFonts w:ascii="等线(中文正文)" w:hAnsi="等线(中文正文)" w:cs="等线(中文正文)" w:eastAsia="等线(中文正文)"/>
          <w:b w:val="false"/>
          <w:i w:val="false"/>
          <w:sz w:val="20"/>
        </w:rPr>
        <w:t>发言人1 答：下半年市场中，尽管AI产业趋势受到质疑，但仍然认可其未来的增长潜力，同时非AI领域如医药、高端制造出海以及受益于成本压力的部分非银板块也存在机会。整体而言，经济的增长动力仍然强劲，投资者应充满信心并积极把握结构性机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2026-08-09T14:48:10Z</dcterms:created>
  <dc:creator>Apache POI</dc:creator>
</cp:coreProperties>
</file>