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方正证券 TMT周周谈：AI生态系列汇报 260809_导读</w:t>
      </w:r>
    </w:p>
    <w:p>
      <w:pPr>
        <w:pStyle w:val="a0"/>
        <w:jc w:val="center"/>
      </w:pPr>
      <w:r>
        <w:t>2026年08月09日 22:25</w:t>
      </w:r>
    </w:p>
    <w:p>
      <w:pPr>
        <w:pStyle w:val="a7"/>
      </w:pPr>
      <w:r>
        <w:t>关键词</w:t>
      </w:r>
    </w:p>
    <w:p>
      <w:r>
        <w:rPr>
          <w:rFonts w:ascii="等线(中文正文)" w:hAnsi="等线(中文正文)" w:cs="等线(中文正文)" w:eastAsia="等线(中文正文)"/>
          <w:b w:val="false"/>
          <w:i w:val="false"/>
          <w:sz w:val="20"/>
        </w:rPr>
        <w:t xml:space="preserve">AI算力 国产化 寒武纪 中芯国际 半导体设备 光通信 液冷 玻璃基板 PCB 东山精密 立讯精密 鸿富瀚 中石科技 京东方 盛虹 沪电股份 鹏鼎控股 AI芯片 存储 连接单元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全面覆盖了AI领域的多个关键方面，包括AI硬件的选型标准、国产算力的发展与自主可控的半导体产业链构建，同时关注了海外算力核心零组件以及基础电子元件的升级趋势。讨论还深入到了AI在各应用领域的进展与市场行情，特别强调了光通信、液冷技术、玻璃基板等细分市场的投资机遇，凸显了AI算力硬件在电子行业中的核心地位及其对市场预期的正面影响。此外，分析了AI对硬件产业链的积极效应，如存储扩产和半导体设备订单的增加，并对光模块、PCB及3D打印领域的投资潜力进行了细致评估。整体而言，讨论旨在为投资者提供AI领域的投资导向和选标，聚焦国产算力、海外算力核心零组件及基础电子元件等细分赛道，展现了对未来市场表现的乐观预期。</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AI硬件板块分析与推荐观点</w:t>
      </w:r>
    </w:p>
    <w:p>
      <w:r>
        <w:rPr>
          <w:rFonts w:ascii="等线(中文正文)" w:hAnsi="等线(中文正文)" w:cs="等线(中文正文)" w:eastAsia="等线(中文正文)"/>
          <w:b w:val="false"/>
          <w:i w:val="false"/>
          <w:sz w:val="20"/>
        </w:rPr>
        <w:t>对话围绕AI硬件板块在电子行业的发展展开，强调了选股需考虑景气度、业绩与国内公司竞争力三大因素。汇报内容涵盖AI算力硬件、AI应用行情预测及AS算力主线，指出近期回调后估值性价比提升，重申对电子板块AI作用下的三个方向推荐。</w:t>
      </w:r>
    </w:p>
    <w:p>
      <w:r>
        <w:rPr>
          <w:rFonts w:ascii="等线(中文正文)" w:hAnsi="等线(中文正文)" w:cs="等线(中文正文)" w:eastAsia="等线(中文正文)"/>
          <w:b w:val="false"/>
          <w:i w:val="false"/>
          <w:sz w:val="20"/>
        </w:rPr>
        <w:t/>
      </w:r>
    </w:p>
    <w:p>
      <w:pPr>
        <w:pStyle w:val="ab"/>
        <w:numPr>
          <w:numId w:val="2"/>
        </w:numPr>
      </w:pPr>
      <w:r>
        <w:t>02:24 国产算力与半导体产业链的机遇与展望</w:t>
      </w:r>
    </w:p>
    <w:p>
      <w:r>
        <w:rPr>
          <w:rFonts w:ascii="等线(中文正文)" w:hAnsi="等线(中文正文)" w:cs="等线(中文正文)" w:eastAsia="等线(中文正文)"/>
          <w:b w:val="false"/>
          <w:i w:val="false"/>
          <w:sz w:val="20"/>
        </w:rPr>
        <w:t>对话聚焦于国产算力与自主可控的半导体产业链，特别是以寒武纪、中芯国际为代表的公司，强调了下半年成为主线的潜力。新产品迭代加速、供应链瓶颈缓解以及存货显著提升等亮点，预示着未来供给端缓解后的爆发力。同时，存储扩产与先进逻辑扩产趋势，为半导体设备公司带来订单确定性，看好贯穿26年整年度的行情。</w:t>
      </w:r>
    </w:p>
    <w:p>
      <w:r>
        <w:rPr>
          <w:rFonts w:ascii="等线(中文正文)" w:hAnsi="等线(中文正文)" w:cs="等线(中文正文)" w:eastAsia="等线(中文正文)"/>
          <w:b w:val="false"/>
          <w:i w:val="false"/>
          <w:sz w:val="20"/>
        </w:rPr>
        <w:t/>
      </w:r>
    </w:p>
    <w:p>
      <w:pPr>
        <w:pStyle w:val="ab"/>
        <w:numPr>
          <w:numId w:val="3"/>
        </w:numPr>
      </w:pPr>
      <w:r>
        <w:t>05:21 海外算力核心零组件及国内公司竞争力分析</w:t>
      </w:r>
    </w:p>
    <w:p>
      <w:r>
        <w:rPr>
          <w:rFonts w:ascii="等线(中文正文)" w:hAnsi="等线(中文正文)" w:cs="等线(中文正文)" w:eastAsia="等线(中文正文)"/>
          <w:b w:val="false"/>
          <w:i w:val="false"/>
          <w:sz w:val="20"/>
        </w:rPr>
        <w:t>讨论了海外算力核心零组件的三个关键方向：光通信与连接单元、液冷板块和玻璃基板，强调了国内公司在这些领域的核心竞争力。推荐关注东山精密、立讯精密、鸿富瀚、中石科技等公司，因其在光通信与连接单元及液冷板块的领先地位和业绩弹性。此外，京东方因其在玻璃基板领域的全工序布局和潜在的估值重构被看好。</w:t>
      </w:r>
    </w:p>
    <w:p>
      <w:r>
        <w:rPr>
          <w:rFonts w:ascii="等线(中文正文)" w:hAnsi="等线(中文正文)" w:cs="等线(中文正文)" w:eastAsia="等线(中文正文)"/>
          <w:b w:val="false"/>
          <w:i w:val="false"/>
          <w:sz w:val="20"/>
        </w:rPr>
        <w:t/>
      </w:r>
    </w:p>
    <w:p>
      <w:pPr>
        <w:pStyle w:val="ab"/>
        <w:numPr>
          <w:numId w:val="4"/>
        </w:numPr>
      </w:pPr>
      <w:r>
        <w:t>09:48 AI驱动下的基础电子元件升级与PCB板块投资机遇</w:t>
      </w:r>
    </w:p>
    <w:p>
      <w:r>
        <w:rPr>
          <w:rFonts w:ascii="等线(中文正文)" w:hAnsi="等线(中文正文)" w:cs="等线(中文正文)" w:eastAsia="等线(中文正文)"/>
          <w:b w:val="false"/>
          <w:i w:val="false"/>
          <w:sz w:val="20"/>
        </w:rPr>
        <w:t>对话探讨了AI技术如何促进基础电子元件如PCB、mlcc和存储等的结构性升级与价格提升，特别是在PCB领域，龙头公司受益于产品升级、订单增长及成本压力缓解，展现出强劲的业绩增长潜力。投资者应关注如盛虹、沪电股份和鹏鼎控股等具备性价比的公司，把握AI时代下的投资机遇。</w:t>
      </w:r>
    </w:p>
    <w:p>
      <w:r>
        <w:rPr>
          <w:rFonts w:ascii="等线(中文正文)" w:hAnsi="等线(中文正文)" w:cs="等线(中文正文)" w:eastAsia="等线(中文正文)"/>
          <w:b w:val="false"/>
          <w:i w:val="false"/>
          <w:sz w:val="20"/>
        </w:rPr>
        <w:t/>
      </w:r>
    </w:p>
    <w:p>
      <w:pPr>
        <w:pStyle w:val="ab"/>
        <w:numPr>
          <w:numId w:val="5"/>
        </w:numPr>
      </w:pPr>
      <w:r>
        <w:t>13:09 AI算力板块回调后展现强劲需求与投资价值</w:t>
      </w:r>
    </w:p>
    <w:p>
      <w:r>
        <w:rPr>
          <w:rFonts w:ascii="等线(中文正文)" w:hAnsi="等线(中文正文)" w:cs="等线(中文正文)" w:eastAsia="等线(中文正文)"/>
          <w:b w:val="false"/>
          <w:i w:val="false"/>
          <w:sz w:val="20"/>
        </w:rPr>
        <w:t>过去一个多月，AI算力板块经历显著回调，现边际企稳。行业基本面景气度高，交易拥挤度、持仓及个股估值调整至较好位置。北美云厂商财报显示需求旺盛，业务加速内循环，支撑硬件产业链。存储、半导体设备、光及连接器等赛道估值合理，需求与供给错配预期未来2-3年难改善，呈现高通胀属性。米尔科威等传统龙头卡位优势突出，有望迎来戴维斯双击行情。</w:t>
      </w:r>
    </w:p>
    <w:p>
      <w:r>
        <w:rPr>
          <w:rFonts w:ascii="等线(中文正文)" w:hAnsi="等线(中文正文)" w:cs="等线(中文正文)" w:eastAsia="等线(中文正文)"/>
          <w:b w:val="false"/>
          <w:i w:val="false"/>
          <w:sz w:val="20"/>
        </w:rPr>
        <w:t/>
      </w:r>
    </w:p>
    <w:p>
      <w:pPr>
        <w:pStyle w:val="ab"/>
        <w:numPr>
          <w:numId w:val="6"/>
        </w:numPr>
      </w:pPr>
      <w:r>
        <w:t>17:19 算力产业链与办公场景应用的投资机会</w:t>
      </w:r>
    </w:p>
    <w:p>
      <w:r>
        <w:rPr>
          <w:rFonts w:ascii="等线(中文正文)" w:hAnsi="等线(中文正文)" w:cs="等线(中文正文)" w:eastAsia="等线(中文正文)"/>
          <w:b w:val="false"/>
          <w:i w:val="false"/>
          <w:sz w:val="20"/>
        </w:rPr>
        <w:t>对话强调了算力产业链的高性价比布局价值，同时指出应用方向尤其是办公场景的潜力巨大。随着模型厂商拓展新场景，办公应用的市场空间预计将显著扩大，建议关注OA、ERP及工业AI领域的相关标的。</w:t>
      </w:r>
    </w:p>
    <w:p>
      <w:r>
        <w:rPr>
          <w:rFonts w:ascii="等线(中文正文)" w:hAnsi="等线(中文正文)" w:cs="等线(中文正文)" w:eastAsia="等线(中文正文)"/>
          <w:b w:val="false"/>
          <w:i w:val="false"/>
          <w:sz w:val="20"/>
        </w:rPr>
        <w:t/>
      </w:r>
    </w:p>
    <w:p>
      <w:pPr>
        <w:pStyle w:val="ab"/>
        <w:numPr>
          <w:numId w:val="7"/>
        </w:numPr>
      </w:pPr>
      <w:r>
        <w:t>20:52 工业AI与云业务：奥普特及行业巨头的强劲增长</w:t>
      </w:r>
    </w:p>
    <w:p>
      <w:r>
        <w:rPr>
          <w:rFonts w:ascii="等线(中文正文)" w:hAnsi="等线(中文正文)" w:cs="等线(中文正文)" w:eastAsia="等线(中文正文)"/>
          <w:b w:val="false"/>
          <w:i w:val="false"/>
          <w:sz w:val="20"/>
        </w:rPr>
        <w:t>对话重点讨论了工业AI领域，尤其是奥普特在北美大客户降本增效需求推动下的显著增长，预计未来几年将持续放量。同时，3D打印作为工业AI细分领域，因iPhone 20周年设备创新而展现出巨大潜力。此外，云业务受益于开源与闭源模型格局重塑，港股互联网巨头及A股相关标的的云业务表现抢眼，建议关注。</w:t>
      </w:r>
    </w:p>
    <w:p>
      <w:r>
        <w:rPr>
          <w:rFonts w:ascii="等线(中文正文)" w:hAnsi="等线(中文正文)" w:cs="等线(中文正文)" w:eastAsia="等线(中文正文)"/>
          <w:b w:val="false"/>
          <w:i w:val="false"/>
          <w:sz w:val="20"/>
        </w:rPr>
        <w:t/>
      </w:r>
    </w:p>
    <w:p>
      <w:pPr>
        <w:pStyle w:val="ab"/>
        <w:numPr>
          <w:numId w:val="8"/>
        </w:numPr>
      </w:pPr>
      <w:r>
        <w:t>24:14 AI应用行情分析与预测</w:t>
      </w:r>
    </w:p>
    <w:p>
      <w:r>
        <w:rPr>
          <w:rFonts w:ascii="等线(中文正文)" w:hAnsi="等线(中文正文)" w:cs="等线(中文正文)" w:eastAsia="等线(中文正文)"/>
          <w:b w:val="false"/>
          <w:i w:val="false"/>
          <w:sz w:val="20"/>
        </w:rPr>
        <w:t>对话围绕AI应用的行情展开，指出三季度将有AR应用行情，看好AAI应用与出版方向，认为这是一次阶段性修复，时间窗口在8、9月份。AI应用预计从四季度至27年全年代将有重大突破，特别是全模态技术的成熟，将推动AI应用向消费端转化。27年底至30年是AI应用正式探索景气上行方向的关键时期。此外，还提到了27年四季度及28年将有偏个股行情，强调了六类不易被AI吞噬的软件价值点。</w:t>
      </w:r>
    </w:p>
    <w:p>
      <w:r>
        <w:rPr>
          <w:rFonts w:ascii="等线(中文正文)" w:hAnsi="等线(中文正文)" w:cs="等线(中文正文)" w:eastAsia="等线(中文正文)"/>
          <w:b w:val="false"/>
          <w:i w:val="false"/>
          <w:sz w:val="20"/>
        </w:rPr>
        <w:t/>
      </w:r>
    </w:p>
    <w:p>
      <w:pPr>
        <w:pStyle w:val="ab"/>
        <w:numPr>
          <w:numId w:val="9"/>
        </w:numPr>
      </w:pPr>
      <w:r>
        <w:t>30:37 AI硬件板块下半年投资机会分析</w:t>
      </w:r>
    </w:p>
    <w:p>
      <w:r>
        <w:rPr>
          <w:rFonts w:ascii="等线(中文正文)" w:hAnsi="等线(中文正文)" w:cs="等线(中文正文)" w:eastAsia="等线(中文正文)"/>
          <w:b w:val="false"/>
          <w:i w:val="false"/>
          <w:sz w:val="20"/>
        </w:rPr>
        <w:t>对话围绕AI硬件板块下半年的投资机会展开，指出TCB板块领涨，尤其关注光通信与1.6T光模块的快速发展，以及CPU和NPU应用的加速。光模块配比有望翻倍，新技术如无源器件MAU、MTO及保偏光纤成为投资焦点。预计Q3、Q4光通信业绩环比增速上行，可能超出市场预期。</w:t>
      </w:r>
    </w:p>
    <w:p>
      <w:r>
        <w:rPr>
          <w:rFonts w:ascii="等线(中文正文)" w:hAnsi="等线(中文正文)" w:cs="等线(中文正文)" w:eastAsia="等线(中文正文)"/>
          <w:b w:val="false"/>
          <w:i w:val="false"/>
          <w:sz w:val="20"/>
        </w:rPr>
        <w:t/>
      </w:r>
    </w:p>
    <w:p>
      <w:pPr>
        <w:pStyle w:val="ab"/>
        <w:numPr>
          <w:numId w:val="10"/>
        </w:numPr>
      </w:pPr>
      <w:r>
        <w:t>34:17 光模块液冷与ASIC自研芯片驱动下半年业绩加速</w:t>
      </w:r>
    </w:p>
    <w:p>
      <w:r>
        <w:rPr>
          <w:rFonts w:ascii="等线(中文正文)" w:hAnsi="等线(中文正文)" w:cs="等线(中文正文)" w:eastAsia="等线(中文正文)"/>
          <w:b w:val="false"/>
          <w:i w:val="false"/>
          <w:sz w:val="20"/>
        </w:rPr>
        <w:t>对话讨论了光模块液冷在GB200/300到Rubin时代渗透率提升，以及1.6T速放量对光模块业务的加速作用，指出顶通和益东等公司值得关注。同时，下半年ASIC自研芯片（如谷歌TPU、亚马逊DNAC）的放量将催化电缆和电源板块业绩，开启估值和利润想象空间。</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对AI领域进行了全面深入的汇报，聚焦于AI的软件硬件生态及应用前景。首先强调了AI硬件在电子行业中的投资逻辑，提出选股应基于三个关键因素：细分赛道的景气度、公司基本面的业绩表现、以及国内公司的竞争力。特别指出国产算力和自主可控的半导体产业链是未来趋势，推荐了包括寒武纪、中芯国际在内的多个代表性公司，并分析了海外算力核心零组件领域的投资机会。随后，他介绍了计算机领域的发展，关注算力和AI应用的最新趋势，提到AI算力需求旺盛，包括光通信、液冷技术等领域的投资潜力。在传媒互联网部分，他展望了AI应用的前景，特别强调了AR应用和AI在出版行业的潜力，预判了AI应用的阶段性发展路径及带来的投资机会。最后，他分享了关于Rubin芯片上量对通信行业的影响，关注光模块、液冷技术、以及电缆和电源板块的机会，展望了这些技术革新为相关行业带来的业绩增长和投资价值。总的来说，他的汇报内容涵盖了AI技术及其应用的广泛领域，从硬件设备、软件开发到行业应用的前景预测，提供了深度的行业分析和投资建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问：在AI硬件板块中，您基于哪些因素进行选股？您认为在AI作用下，电子板块的哪些方向值得关注并推荐？</w:t>
      </w:r>
    </w:p>
    <w:p>
      <w:r>
        <w:rPr>
          <w:rFonts w:ascii="等线(中文正文)" w:hAnsi="等线(中文正文)" w:cs="等线(中文正文)" w:eastAsia="等线(中文正文)"/>
          <w:b w:val="false"/>
          <w:i w:val="false"/>
          <w:sz w:val="20"/>
        </w:rPr>
        <w:t>发言人1 答：我们强调在电子板块选取AI算力硬件时，需考虑三个关键因素：首先，细分方向的景气度（贝塔）要高，包括需求的景气度、订单持续性和未来的确定性；其次，基本面业绩需坚挺，特别是上半年业绩要稳健，并且下半年和明年的业绩预期要更好；最后，国内公司在相应环节的竞争地位必须处于领先地位。第一大方向是国产化，特别是国产算力及自主可控的半导体产业链，以寒武纪、中芯国际、华虹等为代表的一线算力公司新产品迭代加速，供应链瓶颈逐渐缓解，且存货环比显著提升，显示出蓄力和在手订单储备能力。第二大方向关注海外算力核心零组件，如光通信和连接单元（东山精密、立讯精密），以及液冷板块（鸿富瀚、中石科技），它们在国内具有绝对领先地位。第三大方向是具备弹性的液冷板块，尤其是鸿富瀚和中石科技，其业绩弹性值得期待。</w:t>
      </w:r>
    </w:p>
    <w:p>
      <w:r>
        <w:rPr>
          <w:rFonts w:ascii="等线(中文正文)" w:hAnsi="等线(中文正文)" w:cs="等线(中文正文)" w:eastAsia="等线(中文正文)"/>
          <w:b w:val="false"/>
          <w:i w:val="false"/>
          <w:sz w:val="20"/>
        </w:rPr>
        <w:t/>
      </w:r>
    </w:p>
    <w:p>
      <w:pPr>
        <w:pStyle w:val="ab"/>
      </w:pPr>
      <w:r>
        <w:t>发言人1 问：对于国内公司在海外算力产业链中的表现，有哪些具体板块或公司值得关注？</w:t>
      </w:r>
    </w:p>
    <w:p>
      <w:r>
        <w:rPr>
          <w:rFonts w:ascii="等线(中文正文)" w:hAnsi="等线(中文正文)" w:cs="等线(中文正文)" w:eastAsia="等线(中文正文)"/>
          <w:b w:val="false"/>
          <w:i w:val="false"/>
          <w:sz w:val="20"/>
        </w:rPr>
        <w:t>发言人1 答：在海外算力产业链中，国内公司在光通信和连接单元领域有显著优势，代表性公司包括东山精密和立讯精密。此外，液冷板块是海外算力延伸方向中的重点推荐，其中鸿富瀚和中石科技因其国内外客户订单的爆发力和业绩兑现期而备受关注。同时，还有鸿日达和易德隆这类位置较低但具备爆发性潜力的公司，它们拥有核心技术储备和客户资源突破，有望在耶伦板块中实现股价弹性增长。</w:t>
      </w:r>
    </w:p>
    <w:p>
      <w:r>
        <w:rPr>
          <w:rFonts w:ascii="等线(中文正文)" w:hAnsi="等线(中文正文)" w:cs="等线(中文正文)" w:eastAsia="等线(中文正文)"/>
          <w:b w:val="false"/>
          <w:i w:val="false"/>
          <w:sz w:val="20"/>
        </w:rPr>
        <w:t/>
      </w:r>
    </w:p>
    <w:p>
      <w:pPr>
        <w:pStyle w:val="ab"/>
      </w:pPr>
      <w:r>
        <w:t>发言人1 问：海外算力的第三个方向是什么？</w:t>
      </w:r>
    </w:p>
    <w:p>
      <w:r>
        <w:rPr>
          <w:rFonts w:ascii="等线(中文正文)" w:hAnsi="等线(中文正文)" w:cs="等线(中文正文)" w:eastAsia="等线(中文正文)"/>
          <w:b w:val="false"/>
          <w:i w:val="false"/>
          <w:sz w:val="20"/>
        </w:rPr>
        <w:t>发言人1 答：海外算力的第三个方向是玻璃基板，虽然兑现度可能在28年以后，3到5年内，但它是技术创新和升级的一个确定性方向。在玻璃基板方面，建议关注京东方这家具备全工序布局的龙头公司，因其主业持续增长超预期，并且在新业务玻璃基板布局上有机会迎来估值重构和业绩向上兑现。</w:t>
      </w:r>
    </w:p>
    <w:p>
      <w:r>
        <w:rPr>
          <w:rFonts w:ascii="等线(中文正文)" w:hAnsi="等线(中文正文)" w:cs="等线(中文正文)" w:eastAsia="等线(中文正文)"/>
          <w:b w:val="false"/>
          <w:i w:val="false"/>
          <w:sz w:val="20"/>
        </w:rPr>
        <w:t/>
      </w:r>
    </w:p>
    <w:p>
      <w:pPr>
        <w:pStyle w:val="ab"/>
      </w:pPr>
      <w:r>
        <w:t>发言人1 问：对于基础电子元件或零组件，在AI加持下的情况如何？基础电子元件中有哪些龙头公司值得关注？</w:t>
      </w:r>
    </w:p>
    <w:p>
      <w:r>
        <w:rPr>
          <w:rFonts w:ascii="等线(中文正文)" w:hAnsi="等线(中文正文)" w:cs="等线(中文正文)" w:eastAsia="等线(中文正文)"/>
          <w:b w:val="false"/>
          <w:i w:val="false"/>
          <w:sz w:val="20"/>
        </w:rPr>
        <w:t>发言人1 答：基础电子元件或零组件，在AI的加持下，正经历结构性升级和价格升级，且龙头公司在升级过程中基本面加速向上。例如PCB、MLCC、存储等环节，拥有完善的上下游供应链，随着结构升级、供给紧张以及龙头公司客户资源卡位等因素，整体景气度明确向好。在基础电子元件中，盛虹、沪电股份和鹏鼎控股等龙头公司是首当其冲可以配置的标的，它们在AI作用下的细分领域具有较大机会。</w:t>
      </w:r>
    </w:p>
    <w:p>
      <w:r>
        <w:rPr>
          <w:rFonts w:ascii="等线(中文正文)" w:hAnsi="等线(中文正文)" w:cs="等线(中文正文)" w:eastAsia="等线(中文正文)"/>
          <w:b w:val="false"/>
          <w:i w:val="false"/>
          <w:sz w:val="20"/>
        </w:rPr>
        <w:t/>
      </w:r>
    </w:p>
    <w:p>
      <w:pPr>
        <w:pStyle w:val="ab"/>
      </w:pPr>
      <w:r>
        <w:t>发言人1 问：PCB板块为何表现强劲？</w:t>
      </w:r>
    </w:p>
    <w:p>
      <w:r>
        <w:rPr>
          <w:rFonts w:ascii="等线(中文正文)" w:hAnsi="等线(中文正文)" w:cs="等线(中文正文)" w:eastAsia="等线(中文正文)"/>
          <w:b w:val="false"/>
          <w:i w:val="false"/>
          <w:sz w:val="20"/>
        </w:rPr>
        <w:t>发言人1 答：上周五PCB板块表现最强劲，主要是由于算力景气度高企叠加产品结构性升级，以及正交背板增量变化和英伟达 rubin放量带来的龙头公司订单加速潜力。此外，在一季度到二季度原材料涨价及产能调整阶段，PCB龙头公司的业绩已展现出不错的表现，随着产能逐步释放、产品结构调整完成及成本压力缓解，后续业绩释放的空间和确定性都很大。</w:t>
      </w:r>
    </w:p>
    <w:p>
      <w:r>
        <w:rPr>
          <w:rFonts w:ascii="等线(中文正文)" w:hAnsi="等线(中文正文)" w:cs="等线(中文正文)" w:eastAsia="等线(中文正文)"/>
          <w:b w:val="false"/>
          <w:i w:val="false"/>
          <w:sz w:val="20"/>
        </w:rPr>
        <w:t/>
      </w:r>
    </w:p>
    <w:p>
      <w:pPr>
        <w:pStyle w:val="ab"/>
      </w:pPr>
      <w:r>
        <w:t>发言人1 问：目前对于AI算力板块的整体看法是什么？</w:t>
      </w:r>
    </w:p>
    <w:p>
      <w:r>
        <w:rPr>
          <w:rFonts w:ascii="等线(中文正文)" w:hAnsi="等线(中文正文)" w:cs="等线(中文正文)" w:eastAsia="等线(中文正文)"/>
          <w:b w:val="false"/>
          <w:i w:val="false"/>
          <w:sz w:val="20"/>
        </w:rPr>
        <w:t>发言人1 答：经过过去一个多月的回调，当前AI算力板块已企稳，从基本面上看，整个行业景气度仍然很高。交易拥挤度、板块持仓和个股估值已调整至较好位置，前期的回调可能是在为中长线更好的行情做铺垫。从算力需求角度看，板块需求强劲，北美云厂商业绩增速加快，预示着未来硬件产业链将受益于自身运营和模型商业化起量，形成强有力的支撑，尤其是存储领域。同时，部分个股已进入三倍至四倍估值区间，供需错配在未来2到3年内难以改善，这些赛道和相关公司将迎来很好的发展机会。</w:t>
      </w:r>
    </w:p>
    <w:p>
      <w:r>
        <w:rPr>
          <w:rFonts w:ascii="等线(中文正文)" w:hAnsi="等线(中文正文)" w:cs="等线(中文正文)" w:eastAsia="等线(中文正文)"/>
          <w:b w:val="false"/>
          <w:i w:val="false"/>
          <w:sz w:val="20"/>
        </w:rPr>
        <w:t/>
      </w:r>
    </w:p>
    <w:p>
      <w:pPr>
        <w:pStyle w:val="ab"/>
      </w:pPr>
      <w:r>
        <w:t>发言人1 问：在当前市场环境下，为什么算力产业链相关标的具有较高的性价比和布局价值？</w:t>
      </w:r>
    </w:p>
    <w:p>
      <w:r>
        <w:rPr>
          <w:rFonts w:ascii="等线(中文正文)" w:hAnsi="等线(中文正文)" w:cs="等线(中文正文)" w:eastAsia="等线(中文正文)"/>
          <w:b w:val="false"/>
          <w:i w:val="false"/>
          <w:sz w:val="20"/>
        </w:rPr>
        <w:t>发言人1 答：我们认为，目前无论是估值水位、资金结构还是市场情况，都为算力产业链相关标的提供了良好的布局机会。尤其是在模型厂商方面，无论是北美大厂还是国内互联网大厂，都在积极拓展新的应用场景，如办公场景，并且通过降价策略加大市场渗透力度。此外，开源模型的兴起使得云厂商在卡位优势上更为突出，进一步推动了算力产业链的发展。</w:t>
      </w:r>
    </w:p>
    <w:p>
      <w:r>
        <w:rPr>
          <w:rFonts w:ascii="等线(中文正文)" w:hAnsi="等线(中文正文)" w:cs="等线(中文正文)" w:eastAsia="等线(中文正文)"/>
          <w:b w:val="false"/>
          <w:i w:val="false"/>
          <w:sz w:val="20"/>
        </w:rPr>
        <w:t/>
      </w:r>
    </w:p>
    <w:p>
      <w:pPr>
        <w:pStyle w:val="ab"/>
      </w:pPr>
      <w:r>
        <w:t>发言人1 问：模型厂商在哪些方向上正在发生重要的转变？</w:t>
      </w:r>
    </w:p>
    <w:p>
      <w:r>
        <w:rPr>
          <w:rFonts w:ascii="等线(中文正文)" w:hAnsi="等线(中文正文)" w:cs="等线(中文正文)" w:eastAsia="等线(中文正文)"/>
          <w:b w:val="false"/>
          <w:i w:val="false"/>
          <w:sz w:val="20"/>
        </w:rPr>
        <w:t>发言人1 答：模型厂商正在从原本的编程场景逐渐向办公场景等新领域拓展。例如，海外的ano pic open a等大厂以及国内的互联网大厂都在全面布局并尝试在办公领域的规模化应用。根据相关路演信息，明年R达到了3000亿美金，其中编程场景占比40%，其余60%将在其他赛道，尤其是办公赛道上实现增长。</w:t>
      </w:r>
    </w:p>
    <w:p>
      <w:r>
        <w:rPr>
          <w:rFonts w:ascii="等线(中文正文)" w:hAnsi="等线(中文正文)" w:cs="等线(中文正文)" w:eastAsia="等线(中文正文)"/>
          <w:b w:val="false"/>
          <w:i w:val="false"/>
          <w:sz w:val="20"/>
        </w:rPr>
        <w:t/>
      </w:r>
    </w:p>
    <w:p>
      <w:pPr>
        <w:pStyle w:val="ab"/>
      </w:pPr>
      <w:r>
        <w:t>发言人1 问：办公场景相较于编程场景有何特点，以及其市场潜力如何？</w:t>
      </w:r>
    </w:p>
    <w:p>
      <w:r>
        <w:rPr>
          <w:rFonts w:ascii="等线(中文正文)" w:hAnsi="等线(中文正文)" w:cs="等线(中文正文)" w:eastAsia="等线(中文正文)"/>
          <w:b w:val="false"/>
          <w:i w:val="false"/>
          <w:sz w:val="20"/>
        </w:rPr>
        <w:t>发言人1 答：办公场景相较于编程场景具有更广泛的普罗大众性，有效市场空间可能比编程场景大得多。国内work body产品在短短半年内已成为腾讯史上第三大放量产品，显示出办公场景的巨大潜力。因此，我们建议在B端市场中关注办公领域相关的标的，包括OA、ERP以及工业AI细分品种等。</w:t>
      </w:r>
    </w:p>
    <w:p>
      <w:r>
        <w:rPr>
          <w:rFonts w:ascii="等线(中文正文)" w:hAnsi="等线(中文正文)" w:cs="等线(中文正文)" w:eastAsia="等线(中文正文)"/>
          <w:b w:val="false"/>
          <w:i w:val="false"/>
          <w:sz w:val="20"/>
        </w:rPr>
        <w:t/>
      </w:r>
    </w:p>
    <w:p>
      <w:pPr>
        <w:pStyle w:val="ab"/>
      </w:pPr>
      <w:r>
        <w:t>发言人1 问：奥普特公司在工业AI领域的发展状况如何？</w:t>
      </w:r>
    </w:p>
    <w:p>
      <w:r>
        <w:rPr>
          <w:rFonts w:ascii="等线(中文正文)" w:hAnsi="等线(中文正文)" w:cs="等线(中文正文)" w:eastAsia="等线(中文正文)"/>
          <w:b w:val="false"/>
          <w:i w:val="false"/>
          <w:sz w:val="20"/>
        </w:rPr>
        <w:t>发言人1 答：奥普特公司在工业AI领域已进入规模放量阶段，特别是在北美市场的降本增效需求下，视觉识别技术被广泛应用，成为标准化生产、成本管控及降低抛料率的关键手段。自去年以来，奥普特已实施几个标杆项目，收入达到数亿级别，今年预计业绩翻倍增长，未来几年还将延续放量态势。</w:t>
      </w:r>
    </w:p>
    <w:p>
      <w:r>
        <w:rPr>
          <w:rFonts w:ascii="等线(中文正文)" w:hAnsi="等线(中文正文)" w:cs="等线(中文正文)" w:eastAsia="等线(中文正文)"/>
          <w:b w:val="false"/>
          <w:i w:val="false"/>
          <w:sz w:val="20"/>
        </w:rPr>
        <w:t/>
      </w:r>
    </w:p>
    <w:p>
      <w:pPr>
        <w:pStyle w:val="ab"/>
      </w:pPr>
      <w:r>
        <w:t>发言人1 问：对于3D打印领域及其中涉及的工业AI应用有何看法？</w:t>
      </w:r>
    </w:p>
    <w:p>
      <w:r>
        <w:rPr>
          <w:rFonts w:ascii="等线(中文正文)" w:hAnsi="等线(中文正文)" w:cs="等线(中文正文)" w:eastAsia="等线(中文正文)"/>
          <w:b w:val="false"/>
          <w:i w:val="false"/>
          <w:sz w:val="20"/>
        </w:rPr>
        <w:t>发言人1 答：3D打印是工业AI的一个显著细分领域，明年iPhone 20周年纪念版将推出几款采用3D打印的设备，预计将带来巨大需求量。其中，奥普特公司在该领域占据独家领先地位，相关业务将为公司带来强劲弹性增长。</w:t>
      </w:r>
    </w:p>
    <w:p>
      <w:r>
        <w:rPr>
          <w:rFonts w:ascii="等线(中文正文)" w:hAnsi="等线(中文正文)" w:cs="等线(中文正文)" w:eastAsia="等线(中文正文)"/>
          <w:b w:val="false"/>
          <w:i w:val="false"/>
          <w:sz w:val="20"/>
        </w:rPr>
        <w:t/>
      </w:r>
    </w:p>
    <w:p>
      <w:pPr>
        <w:pStyle w:val="ab"/>
      </w:pPr>
      <w:r>
        <w:t>发言人1 问：在云计算和AI应用方面，有哪些值得关注的趋势或布局？</w:t>
      </w:r>
    </w:p>
    <w:p>
      <w:r>
        <w:rPr>
          <w:rFonts w:ascii="等线(中文正文)" w:hAnsi="等线(中文正文)" w:cs="等线(中文正文)" w:eastAsia="等线(中文正文)"/>
          <w:b w:val="false"/>
          <w:i w:val="false"/>
          <w:sz w:val="20"/>
        </w:rPr>
        <w:t>发言人1 答：目前云厂商在开源和闭源模型格局重塑中卡位优势明显，云业务呈现加速发展态势，并且受益于AI应用的放量增长。建议关注港股互联网巨头的云业务以及阿里、腾讯、金山云等A股相关标的。同时，还强调了语音识别方向的投资机会，因为它在AI应用中表现出较强的增长潜力。</w:t>
      </w:r>
    </w:p>
    <w:p>
      <w:r>
        <w:rPr>
          <w:rFonts w:ascii="等线(中文正文)" w:hAnsi="等线(中文正文)" w:cs="等线(中文正文)" w:eastAsia="等线(中文正文)"/>
          <w:b w:val="false"/>
          <w:i w:val="false"/>
          <w:sz w:val="20"/>
        </w:rPr>
        <w:t/>
      </w:r>
    </w:p>
    <w:p>
      <w:pPr>
        <w:pStyle w:val="ab"/>
      </w:pPr>
      <w:r>
        <w:t>发言人1 问：AI应用市场目前期待的焦点是什么？对于2027年及之后的AI应用发展有何预测？</w:t>
      </w:r>
    </w:p>
    <w:p>
      <w:r>
        <w:rPr>
          <w:rFonts w:ascii="等线(中文正文)" w:hAnsi="等线(中文正文)" w:cs="等线(中文正文)" w:eastAsia="等线(中文正文)"/>
          <w:b w:val="false"/>
          <w:i w:val="false"/>
          <w:sz w:val="20"/>
        </w:rPr>
        <w:t>发言人1 答：目前市场对AI应用的期待主要集中在大模型技术的更新，特别是全模态技术的突破。这种全模态对于线上变现和算法推荐虽影响不大，但在构建闭环并实现与现实世界交互作用方面至关重要。预计2027年将经历一个完整的发展期，AI应用不会一次性全面爆发，但其价值会逐渐显现。在真实AI应用正式景气上行之前，存在六个价值点可作为选股思路，包括系统、合规、工作流、多产品平台、本地部署以及高带宽消耗的业务连接能力。</w:t>
      </w:r>
    </w:p>
    <w:p>
      <w:r>
        <w:rPr>
          <w:rFonts w:ascii="等线(中文正文)" w:hAnsi="等线(中文正文)" w:cs="等线(中文正文)" w:eastAsia="等线(中文正文)"/>
          <w:b w:val="false"/>
          <w:i w:val="false"/>
          <w:sz w:val="20"/>
        </w:rPr>
        <w:t/>
      </w:r>
    </w:p>
    <w:p>
      <w:pPr>
        <w:pStyle w:val="ab"/>
      </w:pPr>
      <w:r>
        <w:t>发言人1 问：全模态技术突破后对AI应用的发展有何影响？在全模态技术突破之后，哪些领域或产品线是重点关注的？</w:t>
      </w:r>
    </w:p>
    <w:p>
      <w:r>
        <w:rPr>
          <w:rFonts w:ascii="等线(中文正文)" w:hAnsi="等线(中文正文)" w:cs="等线(中文正文)" w:eastAsia="等线(中文正文)"/>
          <w:b w:val="false"/>
          <w:i w:val="false"/>
          <w:sz w:val="20"/>
        </w:rPr>
        <w:t>发言人1 答：全模态技术一旦突破，半年到一个季度的传导期内，AI应用的逻辑将更加清晰，业务边界得到修正和完善，大改版的动作也会随之展开。到2023年中，AI应用将必须走向消费端，进行全面兑现。重点关注两条主线：一是大模型结合硬件改造以改造现实消费产品的线；二是苹果glass作为新的计算平台的线。这两条线被认为是比较重要的，预计在2027年年底会看到AI应用正式进入景气上行方向。</w:t>
      </w:r>
    </w:p>
    <w:p>
      <w:r>
        <w:rPr>
          <w:rFonts w:ascii="等线(中文正文)" w:hAnsi="等线(中文正文)" w:cs="等线(中文正文)" w:eastAsia="等线(中文正文)"/>
          <w:b w:val="false"/>
          <w:i w:val="false"/>
          <w:sz w:val="20"/>
        </w:rPr>
        <w:t/>
      </w:r>
    </w:p>
    <w:p>
      <w:pPr>
        <w:pStyle w:val="ab"/>
      </w:pPr>
      <w:r>
        <w:t>发言人1 问：下半年有哪些板块可能受到利好？Rubin上量对相关硬件板块的具体影响是什么？</w:t>
      </w:r>
    </w:p>
    <w:p>
      <w:r>
        <w:rPr>
          <w:rFonts w:ascii="等线(中文正文)" w:hAnsi="等线(中文正文)" w:cs="等线(中文正文)" w:eastAsia="等线(中文正文)"/>
          <w:b w:val="false"/>
          <w:i w:val="false"/>
          <w:sz w:val="20"/>
        </w:rPr>
        <w:t>发言人1 答：下半年重点看好光通信板块，尤其是1.6T光模块，受到Ruby系列上量带来的需求增量驱动，Q3和Q4业绩环比增速有望超预期。此外，光通信新技术如CPU和NPU的应用、光模块液冷环节也具有投资价值。Rubin上量将带动PCB、光通信（尤其是1.6T光模块）、无源器件以及光模块液冷等环节的需求增长，同时也会加速CPU和NPU的应用，并且对电能和电源相关板块产生积极影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2026-08-09T14:48:26Z</dcterms:created>
  <dc:creator>Apache POI</dc:creator>
</cp:coreProperties>
</file>