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上银基金 固收半月谈！债市解读 260807_导读</w:t>
      </w:r>
    </w:p>
    <w:p>
      <w:pPr>
        <w:pStyle w:val="a0"/>
        <w:jc w:val="center"/>
      </w:pPr>
      <w:r>
        <w:t>2026年08月08日 12:40</w:t>
      </w:r>
    </w:p>
    <w:p>
      <w:pPr>
        <w:pStyle w:val="a7"/>
      </w:pPr>
      <w:r>
        <w:t>关键词</w:t>
      </w:r>
    </w:p>
    <w:p>
      <w:r>
        <w:rPr>
          <w:rFonts w:ascii="等线(中文正文)" w:hAnsi="等线(中文正文)" w:cs="等线(中文正文)" w:eastAsia="等线(中文正文)"/>
          <w:b w:val="false"/>
          <w:i w:val="false"/>
          <w:sz w:val="20"/>
        </w:rPr>
        <w:t xml:space="preserve">信用债 利率债 徐佩祥 上银基金 固收加 中短债 美元指数 科技回调 分散配置 十年期国债 资金面 外强内弱 评级下调 城投债 ABS 流动性 转债市场 科技板块 持有期 风险偏好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自7月27日以来，信用债和利率债市场表现各异，中长端利率债收益率震荡下行，特别是国债和30年期国债收益率有所变化。资金面在月初宽松后转为反弹，央行通过净回笼政策稳定市场。信用债市场，新能用债窄幅震荡，银行二永债估值小幅下行。市场关注评级下调对信用债及城投债市场的影响，以及监管政策的潜在影响。同时，海外市场波动、美债收益率变化和科技股反弹也值得关注。投资建议强调分散化投资，关注高性价比的固收加产品及权益市场、转债市场的投资机会，同时谨慎评估城投债市场风险。未来市场趋势需关注评级调整、监管政策变化和市场流动性等关键因素。</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信用债与利率债市场表现回顾</w:t>
      </w:r>
    </w:p>
    <w:p>
      <w:r>
        <w:rPr>
          <w:rFonts w:ascii="等线(中文正文)" w:hAnsi="等线(中文正文)" w:cs="等线(中文正文)" w:eastAsia="等线(中文正文)"/>
          <w:b w:val="false"/>
          <w:i w:val="false"/>
          <w:sz w:val="20"/>
        </w:rPr>
        <w:t>信用债与利率债市场表现回顾显示，自7月27日起，中长端利率债收益率呈震荡下行趋势，一年期与十年期国债收益率有所变化，资金面在跨越后转松，央行采取净回笼态势，美伊冲突降温，美股科技反弹，国内经济呈现外强内弱格局，投资端下滑，上海复苏动能减弱。</w:t>
      </w:r>
    </w:p>
    <w:p>
      <w:r>
        <w:rPr>
          <w:rFonts w:ascii="等线(中文正文)" w:hAnsi="等线(中文正文)" w:cs="等线(中文正文)" w:eastAsia="等线(中文正文)"/>
          <w:b w:val="false"/>
          <w:i w:val="false"/>
          <w:sz w:val="20"/>
        </w:rPr>
        <w:t/>
      </w:r>
    </w:p>
    <w:p>
      <w:pPr>
        <w:pStyle w:val="ab"/>
        <w:numPr>
          <w:numId w:val="2"/>
        </w:numPr>
      </w:pPr>
      <w:r>
        <w:t>02:07 信用债与利率债市场动态及风险分析</w:t>
      </w:r>
    </w:p>
    <w:p>
      <w:r>
        <w:rPr>
          <w:rFonts w:ascii="等线(中文正文)" w:hAnsi="等线(中文正文)" w:cs="等线(中文正文)" w:eastAsia="等线(中文正文)"/>
          <w:b w:val="false"/>
          <w:i w:val="false"/>
          <w:sz w:val="20"/>
        </w:rPr>
        <w:t>对话回顾了信用债与利率债的近期表现，指出信用债市场受评级下调影响较大，尤其是银行二永债和商金债的估值波动。市场对评级取消的主体存在分歧，导致交易清淡，流动性缺乏，估值表现滞后。同时，城投债面临评级终止高峰，需警惕估值分化风险，尤其在非标疫情高发区域。监管力度加大，建议谨慎对待潜在平均下调风险大的主体。</w:t>
      </w:r>
    </w:p>
    <w:p>
      <w:r>
        <w:rPr>
          <w:rFonts w:ascii="等线(中文正文)" w:hAnsi="等线(中文正文)" w:cs="等线(中文正文)" w:eastAsia="等线(中文正文)"/>
          <w:b w:val="false"/>
          <w:i w:val="false"/>
          <w:sz w:val="20"/>
        </w:rPr>
        <w:t/>
      </w:r>
    </w:p>
    <w:p>
      <w:pPr>
        <w:pStyle w:val="ab"/>
        <w:numPr>
          <w:numId w:val="3"/>
        </w:numPr>
      </w:pPr>
      <w:r>
        <w:t>04:06 固收加产品分享：上银惠泽双利债券型基金</w:t>
      </w:r>
    </w:p>
    <w:p>
      <w:r>
        <w:rPr>
          <w:rFonts w:ascii="等线(中文正文)" w:hAnsi="等线(中文正文)" w:cs="等线(中文正文)" w:eastAsia="等线(中文正文)"/>
          <w:b w:val="false"/>
          <w:i w:val="false"/>
          <w:sz w:val="20"/>
        </w:rPr>
        <w:t>对话中推荐了上银惠泽双利债券型证券投资基金，强调其在当前市场环境下的优势，包括合理配置转债、股票、基金等含权资产，灵活布局债券、A股、港股及权益类基金，通过多类资产配置捕捉多元收益，实现低波动率下的长期增值目标。</w:t>
      </w:r>
    </w:p>
    <w:p>
      <w:r>
        <w:rPr>
          <w:rFonts w:ascii="等线(中文正文)" w:hAnsi="等线(中文正文)" w:cs="等线(中文正文)" w:eastAsia="等线(中文正文)"/>
          <w:b w:val="false"/>
          <w:i w:val="false"/>
          <w:sz w:val="20"/>
        </w:rPr>
        <w:t/>
      </w:r>
    </w:p>
    <w:p>
      <w:pPr>
        <w:pStyle w:val="ab"/>
        <w:numPr>
          <w:numId w:val="4"/>
        </w:numPr>
      </w:pPr>
      <w:r>
        <w:t>07:48 固收加产品与市场回顾：稳健投资与市场动态</w:t>
      </w:r>
    </w:p>
    <w:p>
      <w:r>
        <w:rPr>
          <w:rFonts w:ascii="等线(中文正文)" w:hAnsi="等线(中文正文)" w:cs="等线(中文正文)" w:eastAsia="等线(中文正文)"/>
          <w:b w:val="false"/>
          <w:i w:val="false"/>
          <w:sz w:val="20"/>
        </w:rPr>
        <w:t>对话讨论了固收加产品的投资价值，尤其是上银汇上产品近一年的良好表现，适合寻求稳健收益的投资者。同时，回顾了海外市场美元指数震荡下行、美债收益率变化趋势，以及权益市场的分化表现，指出科技板块回调明显，但其他板块有所恢复。此外，还提供了科技投资回调后的应对策略，建议投资者关注缓震攻略，避免追涨杀跌，寻找市场机会。</w:t>
      </w:r>
    </w:p>
    <w:p>
      <w:r>
        <w:rPr>
          <w:rFonts w:ascii="等线(中文正文)" w:hAnsi="等线(中文正文)" w:cs="等线(中文正文)" w:eastAsia="等线(中文正文)"/>
          <w:b w:val="false"/>
          <w:i w:val="false"/>
          <w:sz w:val="20"/>
        </w:rPr>
        <w:t/>
      </w:r>
    </w:p>
    <w:p>
      <w:pPr>
        <w:pStyle w:val="ab"/>
        <w:numPr>
          <w:numId w:val="5"/>
        </w:numPr>
      </w:pPr>
      <w:r>
        <w:t>12:06 投资策略：分散配置与固收底仓的重要性</w:t>
      </w:r>
    </w:p>
    <w:p>
      <w:r>
        <w:rPr>
          <w:rFonts w:ascii="等线(中文正文)" w:hAnsi="等线(中文正文)" w:cs="等线(中文正文)" w:eastAsia="等线(中文正文)"/>
          <w:b w:val="false"/>
          <w:i w:val="false"/>
          <w:sz w:val="20"/>
        </w:rPr>
        <w:t>讨论了投资时应避免单一品种风险，强调了固收类基金作为压舱石的作用，以及巧用持有期产品对闲钱进行自律管理的策略。持有期虽限制了灵活性，但有助于避免追涨杀跌，对基金经理操作资金也更为有利。</w:t>
      </w:r>
    </w:p>
    <w:p>
      <w:r>
        <w:rPr>
          <w:rFonts w:ascii="等线(中文正文)" w:hAnsi="等线(中文正文)" w:cs="等线(中文正文)" w:eastAsia="等线(中文正文)"/>
          <w:b w:val="false"/>
          <w:i w:val="false"/>
          <w:sz w:val="20"/>
        </w:rPr>
        <w:t/>
      </w:r>
    </w:p>
    <w:p>
      <w:pPr>
        <w:pStyle w:val="ab"/>
        <w:numPr>
          <w:numId w:val="6"/>
        </w:numPr>
      </w:pPr>
      <w:r>
        <w:t>13:03 资产配置金字塔与债市展望</w:t>
      </w:r>
    </w:p>
    <w:p>
      <w:r>
        <w:rPr>
          <w:rFonts w:ascii="等线(中文正文)" w:hAnsi="等线(中文正文)" w:cs="等线(中文正文)" w:eastAsia="等线(中文正文)"/>
          <w:b w:val="false"/>
          <w:i w:val="false"/>
          <w:sz w:val="20"/>
        </w:rPr>
        <w:t>对话围绕资产配置金字塔展开，推荐权益类产品、固收类理财产品及活期资金管理。并展望利率债与信用债市场，建议哑铃型配置策略，关注信用债评级动态与监管趋势，地产行业估值分化，适时布局右侧机会。</w:t>
      </w:r>
    </w:p>
    <w:p>
      <w:r>
        <w:rPr>
          <w:rFonts w:ascii="等线(中文正文)" w:hAnsi="等线(中文正文)" w:cs="等线(中文正文)" w:eastAsia="等线(中文正文)"/>
          <w:b w:val="false"/>
          <w:i w:val="false"/>
          <w:sz w:val="20"/>
        </w:rPr>
        <w:t/>
      </w:r>
    </w:p>
    <w:p>
      <w:pPr>
        <w:pStyle w:val="ab"/>
        <w:numPr>
          <w:numId w:val="7"/>
        </w:numPr>
      </w:pPr>
      <w:r>
        <w:t>16:50 信用债与利率债市场展望及产品推荐</w:t>
      </w:r>
    </w:p>
    <w:p>
      <w:r>
        <w:rPr>
          <w:rFonts w:ascii="等线(中文正文)" w:hAnsi="等线(中文正文)" w:cs="等线(中文正文)" w:eastAsia="等线(中文正文)"/>
          <w:b w:val="false"/>
          <w:i w:val="false"/>
          <w:sz w:val="20"/>
        </w:rPr>
        <w:t>对话讨论了信用债市场中短端、中端及长端债券的投资价值，推荐关注ABS、担保债及高流动性主体债，同时对没有持有期的纯债基金和固收加产品进行了推荐，强调产品配置需考虑风险承受能力。</w:t>
      </w:r>
    </w:p>
    <w:p>
      <w:r>
        <w:rPr>
          <w:rFonts w:ascii="等线(中文正文)" w:hAnsi="等线(中文正文)" w:cs="等线(中文正文)" w:eastAsia="等线(中文正文)"/>
          <w:b w:val="false"/>
          <w:i w:val="false"/>
          <w:sz w:val="20"/>
        </w:rPr>
        <w:t/>
      </w:r>
    </w:p>
    <w:p>
      <w:pPr>
        <w:pStyle w:val="ab"/>
        <w:numPr>
          <w:numId w:val="8"/>
        </w:numPr>
      </w:pPr>
      <w:r>
        <w:t>19:33 固收加产品的选择与资产配置价值探讨</w:t>
      </w:r>
    </w:p>
    <w:p>
      <w:r>
        <w:rPr>
          <w:rFonts w:ascii="等线(中文正文)" w:hAnsi="等线(中文正文)" w:cs="等线(中文正文)" w:eastAsia="等线(中文正文)"/>
          <w:b w:val="false"/>
          <w:i w:val="false"/>
          <w:sz w:val="20"/>
        </w:rPr>
        <w:t>对话讨论了固收加产品的选择策略，强调资产配置的价值和风险控制的重要性。固收加策略以固收为基石，结合权益资产，通过动态调整争取超额收益。在市场波动时，调整债券比例进行防御，权益市场好时增加股票配置进攻。建议投资者关注基金经理的资产配置能力和固定收益部分的投资，而非仅关注权益部分的行业选择。查看基金季度报告，了解债券投资品种和期限，确保控风险水平大于增收益能力。</w:t>
      </w:r>
    </w:p>
    <w:p>
      <w:r>
        <w:rPr>
          <w:rFonts w:ascii="等线(中文正文)" w:hAnsi="等线(中文正文)" w:cs="等线(中文正文)" w:eastAsia="等线(中文正文)"/>
          <w:b w:val="false"/>
          <w:i w:val="false"/>
          <w:sz w:val="20"/>
        </w:rPr>
        <w:t/>
      </w:r>
    </w:p>
    <w:p>
      <w:pPr>
        <w:pStyle w:val="ab"/>
        <w:numPr>
          <w:numId w:val="9"/>
        </w:numPr>
      </w:pPr>
      <w:r>
        <w:t>22:16 展望权益与转债市场：科技板块波段机会与周期配置</w:t>
      </w:r>
    </w:p>
    <w:p>
      <w:r>
        <w:rPr>
          <w:rFonts w:ascii="等线(中文正文)" w:hAnsi="等线(中文正文)" w:cs="等线(中文正文)" w:eastAsia="等线(中文正文)"/>
          <w:b w:val="false"/>
          <w:i w:val="false"/>
          <w:sz w:val="20"/>
        </w:rPr>
        <w:t>对话中展望了权益与转债市场的表现，指出海外AI消息落地导致多空交织，模型层盈利担忧与云厂商利好并存。中美科技摩擦影响国内科技情绪，需关注反弹修复。美伊冲突与油价波动影响流动性与风险偏好，建议均衡配置，关注成长性科技板块与周期板块的右侧机会，以及防御性强的红利板块。</w:t>
      </w:r>
    </w:p>
    <w:p>
      <w:r>
        <w:rPr>
          <w:rFonts w:ascii="等线(中文正文)" w:hAnsi="等线(中文正文)" w:cs="等线(中文正文)" w:eastAsia="等线(中文正文)"/>
          <w:b w:val="false"/>
          <w:i w:val="false"/>
          <w:sz w:val="20"/>
        </w:rPr>
        <w:t/>
      </w:r>
    </w:p>
    <w:p>
      <w:pPr>
        <w:pStyle w:val="ab"/>
        <w:numPr>
          <w:numId w:val="10"/>
        </w:numPr>
      </w:pPr>
      <w:r>
        <w:t>23:42 转债市场高估值与赎回风险分析及投资建议</w:t>
      </w:r>
    </w:p>
    <w:p>
      <w:r>
        <w:rPr>
          <w:rFonts w:ascii="等线(中文正文)" w:hAnsi="等线(中文正文)" w:cs="等线(中文正文)" w:eastAsia="等线(中文正文)"/>
          <w:b w:val="false"/>
          <w:i w:val="false"/>
          <w:sz w:val="20"/>
        </w:rPr>
        <w:t>转债市场估值偏高，波动加大，供需矛盾突出。市场中位数指标处于高位，赎回意愿强烈，需关注回撤风险。建议关注高价低溢价转债、新发优质转债及防守型红利和低价转债。</w:t>
      </w:r>
    </w:p>
    <w:p>
      <w:r>
        <w:rPr>
          <w:rFonts w:ascii="等线(中文正文)" w:hAnsi="等线(中文正文)" w:cs="等线(中文正文)" w:eastAsia="等线(中文正文)"/>
          <w:b w:val="false"/>
          <w:i w:val="false"/>
          <w:sz w:val="20"/>
        </w:rPr>
        <w:t/>
      </w:r>
    </w:p>
    <w:p>
      <w:pPr>
        <w:pStyle w:val="ab"/>
        <w:numPr>
          <w:numId w:val="11"/>
        </w:numPr>
      </w:pPr>
      <w:r>
        <w:t>24:35 八月关注评级调整与城投债风险</w:t>
      </w:r>
    </w:p>
    <w:p>
      <w:r>
        <w:rPr>
          <w:rFonts w:ascii="等线(中文正文)" w:hAnsi="等线(中文正文)" w:cs="等线(中文正文)" w:eastAsia="等线(中文正文)"/>
          <w:b w:val="false"/>
          <w:i w:val="false"/>
          <w:sz w:val="20"/>
        </w:rPr>
        <w:t>对话讨论了八月应重点关注评级调整政策，特别是城投债可能面临的下调压力，以及房地产和部分省级建筑国企的评级下降风险。同时，提到了监管对债务规模扩张的关注和市场对未下调区域的钝感，强调了未来可能的风险防范方向。</w:t>
      </w:r>
    </w:p>
    <w:p>
      <w:r>
        <w:rPr>
          <w:rFonts w:ascii="等线(中文正文)" w:hAnsi="等线(中文正文)" w:cs="等线(中文正文)" w:eastAsia="等线(中文正文)"/>
          <w:b w:val="false"/>
          <w:i w:val="false"/>
          <w:sz w:val="20"/>
        </w:rPr>
        <w:t/>
      </w:r>
    </w:p>
    <w:p>
      <w:pPr>
        <w:pStyle w:val="a7"/>
      </w:pPr>
      <w:r>
        <w:t>发言总结</w:t>
      </w:r>
    </w:p>
    <w:p>
      <w:pPr>
        <w:pStyle w:val="ab"/>
        <w:numPr>
          <w:numId w:val="12"/>
        </w:numPr>
      </w:pPr>
      <w:r>
        <w:t>发言人1</w:t>
      </w:r>
    </w:p>
    <w:p>
      <w:r>
        <w:rPr>
          <w:rFonts w:ascii="等线(中文正文)" w:hAnsi="等线(中文正文)" w:cs="等线(中文正文)" w:eastAsia="等线(中文正文)"/>
          <w:b w:val="false"/>
          <w:i w:val="false"/>
          <w:sz w:val="20"/>
        </w:rPr>
        <w:t>主持的固收半月谈直播中，首先介绍了嘉宾徐佩祥，并带领观众回顾了信用债和利率债市场的近期表现。指出7月27日以来，中长端利率债收益率震荡下行，国债和金融债收益率有所变化，资金面从紧张转为宽松，央行采取净回笼政策。同时，讨论了国际因素，如美伊冲突降温、美股科技反弹，以及国内经济基本面的内外失衡状态。在信用债方面，新能用债窄幅震荡，银行二永债估值偏小幅下行，商金债估值普遍上行，关注评级下调带来的扰动和城投债的评级终止高峰。
他还推荐了上银基金的几款产品，包括“上银惠泽双利债券型证券投资基金”，强调了固收加策略在当前市场环境下的优势，通过灵活配置债券、股票等资产，追求收益与风险的平衡。此外，讨论了海外市场、权益市场和转债市场的情况，指出未来市场需关注美国劳动力数据、通胀数据等关键指标，以及评级调整对市场的影响。
直播中，他也解答了观众的疑问，鼓励投资者关注产品的长期表现，并提醒投资者在投资过程中分散风险，保持耐心。最后，他感谢观众的参与，并预告了未来节目的安排，祝大家投资顺利。</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问：利率债市场的表现怎么样？</w:t>
      </w:r>
    </w:p>
    <w:p>
      <w:r>
        <w:rPr>
          <w:rFonts w:ascii="等线(中文正文)" w:hAnsi="等线(中文正文)" w:cs="等线(中文正文)" w:eastAsia="等线(中文正文)"/>
          <w:b w:val="false"/>
          <w:i w:val="false"/>
          <w:sz w:val="20"/>
        </w:rPr>
        <w:t>发言人1 答：自7月27号以来，中长端利率债收益率呈现震荡下行态势。一年期活跃国债收益率有所上行，而十年期和三十年期国债收益率则分别有所下行并围绕2.194%左右震荡。资金面方面，跨期后出现转松现象，央行进行了净回笼操作以平滑资金面波动。</w:t>
      </w:r>
    </w:p>
    <w:p>
      <w:r>
        <w:rPr>
          <w:rFonts w:ascii="等线(中文正文)" w:hAnsi="等线(中文正文)" w:cs="等线(中文正文)" w:eastAsia="等线(中文正文)"/>
          <w:b w:val="false"/>
          <w:i w:val="false"/>
          <w:sz w:val="20"/>
        </w:rPr>
        <w:t/>
      </w:r>
    </w:p>
    <w:p>
      <w:pPr>
        <w:pStyle w:val="ab"/>
      </w:pPr>
      <w:r>
        <w:t>发言人1 问：当前投资环境及国内外经济状况如何？</w:t>
      </w:r>
    </w:p>
    <w:p>
      <w:r>
        <w:rPr>
          <w:rFonts w:ascii="等线(中文正文)" w:hAnsi="等线(中文正文)" w:cs="等线(中文正文)" w:eastAsia="等线(中文正文)"/>
          <w:b w:val="false"/>
          <w:i w:val="false"/>
          <w:sz w:val="20"/>
        </w:rPr>
        <w:t>发言人1 答：国内外经济环境呈现外强内弱格局，美伊冲突降温及美股科技股反弹等因素影响市场。国内方面，受到国物品拖累，单月同比转负；投资端三大项均持续下滑，上海复苏动能减弱，需要进一步跟踪后续变化。</w:t>
      </w:r>
    </w:p>
    <w:p>
      <w:r>
        <w:rPr>
          <w:rFonts w:ascii="等线(中文正文)" w:hAnsi="等线(中文正文)" w:cs="等线(中文正文)" w:eastAsia="等线(中文正文)"/>
          <w:b w:val="false"/>
          <w:i w:val="false"/>
          <w:sz w:val="20"/>
        </w:rPr>
        <w:t/>
      </w:r>
    </w:p>
    <w:p>
      <w:pPr>
        <w:pStyle w:val="ab"/>
      </w:pPr>
      <w:r>
        <w:t>发言人1 问：信用债方面，最近的市场表现如何？</w:t>
      </w:r>
    </w:p>
    <w:p>
      <w:r>
        <w:rPr>
          <w:rFonts w:ascii="等线(中文正文)" w:hAnsi="等线(中文正文)" w:cs="等线(中文正文)" w:eastAsia="等线(中文正文)"/>
          <w:b w:val="false"/>
          <w:i w:val="false"/>
          <w:sz w:val="20"/>
        </w:rPr>
        <w:t>发言人1 答：最近信用债市场中，主要交易品种的新能用债基本在正负2BP左右窄幅震荡。中等期限银行二永债估值偏小幅下行，而等级商金债估值普遍上行约1-2BP。七月份市场的核心关注点仍然是评级下调带来的实际扰动，部分被取消评级主体的市场分歧较大，导致交易清淡和估值滞后。</w:t>
      </w:r>
    </w:p>
    <w:p>
      <w:r>
        <w:rPr>
          <w:rFonts w:ascii="等线(中文正文)" w:hAnsi="等线(中文正文)" w:cs="等线(中文正文)" w:eastAsia="等线(中文正文)"/>
          <w:b w:val="false"/>
          <w:i w:val="false"/>
          <w:sz w:val="20"/>
        </w:rPr>
        <w:t/>
      </w:r>
    </w:p>
    <w:p>
      <w:pPr>
        <w:pStyle w:val="ab"/>
      </w:pPr>
      <w:r>
        <w:t>发言人1 问：近期有哪些信用债相关产品值得关注？</w:t>
      </w:r>
    </w:p>
    <w:p>
      <w:r>
        <w:rPr>
          <w:rFonts w:ascii="等线(中文正文)" w:hAnsi="等线(中文正文)" w:cs="等线(中文正文)" w:eastAsia="等线(中文正文)"/>
          <w:b w:val="false"/>
          <w:i w:val="false"/>
          <w:sz w:val="20"/>
        </w:rPr>
        <w:t>发言人1 答：近期客户购买上银基金的会享利、会员利、汇景利、汇陈利等信用债基金体验感不错，特别是中短债表现较好。如果股市回调时需要底仓配置，可以考虑赎回转换至这些信用债基金，如汇锦丽，其成立满一年的表现值得关注。</w:t>
      </w:r>
    </w:p>
    <w:p>
      <w:r>
        <w:rPr>
          <w:rFonts w:ascii="等线(中文正文)" w:hAnsi="等线(中文正文)" w:cs="等线(中文正文)" w:eastAsia="等线(中文正文)"/>
          <w:b w:val="false"/>
          <w:i w:val="false"/>
          <w:sz w:val="20"/>
        </w:rPr>
        <w:t/>
      </w:r>
    </w:p>
    <w:p>
      <w:pPr>
        <w:pStyle w:val="ab"/>
      </w:pPr>
      <w:r>
        <w:t>发言人1 问：上银惠泽双利债券型证券投资基金有何特点？</w:t>
      </w:r>
    </w:p>
    <w:p>
      <w:r>
        <w:rPr>
          <w:rFonts w:ascii="等线(中文正文)" w:hAnsi="等线(中文正文)" w:cs="等线(中文正文)" w:eastAsia="等线(中文正文)"/>
          <w:b w:val="false"/>
          <w:i w:val="false"/>
          <w:sz w:val="20"/>
        </w:rPr>
        <w:t>发言人1 答：该产品为固收加类型，适合权益市场回暖时考虑配置。它会灵活布局债券、A股、港股以及权益类基金等多元资产，通过多类资产配置平滑波动，在低利率时代提供兼顾弹性和较低波动率的投资路径。具体投资范围包括固定收益类金融资产，部分投资于股票、可转债等权益类资产，并会根据资产风险收益特征动态调整配置比例，采用多策略复合并用的方式力争实现超额收益。</w:t>
      </w:r>
    </w:p>
    <w:p>
      <w:r>
        <w:rPr>
          <w:rFonts w:ascii="等线(中文正文)" w:hAnsi="等线(中文正文)" w:cs="等线(中文正文)" w:eastAsia="等线(中文正文)"/>
          <w:b w:val="false"/>
          <w:i w:val="false"/>
          <w:sz w:val="20"/>
        </w:rPr>
        <w:t/>
      </w:r>
    </w:p>
    <w:p>
      <w:pPr>
        <w:pStyle w:val="ab"/>
      </w:pPr>
      <w:r>
        <w:t>发言人1 问：对于想要投资债基但对纯债类收益较低，同时担心权益类基金波动大的投资者，有什么推荐的产品吗？最近海外市场的表现如何？尤其是美元指数和美债收益率的情况。</w:t>
      </w:r>
    </w:p>
    <w:p>
      <w:r>
        <w:rPr>
          <w:rFonts w:ascii="等线(中文正文)" w:hAnsi="等线(中文正文)" w:cs="等线(中文正文)" w:eastAsia="等线(中文正文)"/>
          <w:b w:val="false"/>
          <w:i w:val="false"/>
          <w:sz w:val="20"/>
        </w:rPr>
        <w:t>发言人1 答：可以考虑我们的固收加产品，例如上银汇上这款产品，它在近一年的表现相对不错。美元指数呈现震荡下行趋势，美债收益率短端趋势性下行，长端则波动较大。这主要是由于美国内部局势反复以及7月份鸽派发言的影响，短期加息预期有所回撤，但中长期通胀担忧上升。具体来说，2年期美债下行约12个BP至4.1%，10年期美债收益率上行2BP至5.17%，各期限利差有所扩大。</w:t>
      </w:r>
    </w:p>
    <w:p>
      <w:r>
        <w:rPr>
          <w:rFonts w:ascii="等线(中文正文)" w:hAnsi="等线(中文正文)" w:cs="等线(中文正文)" w:eastAsia="等线(中文正文)"/>
          <w:b w:val="false"/>
          <w:i w:val="false"/>
          <w:sz w:val="20"/>
        </w:rPr>
        <w:t/>
      </w:r>
    </w:p>
    <w:p>
      <w:pPr>
        <w:pStyle w:val="ab"/>
      </w:pPr>
      <w:r>
        <w:t>发言人1 问：对于未来两周的经济数据发布，有哪些关键信息需要关注？</w:t>
      </w:r>
    </w:p>
    <w:p>
      <w:r>
        <w:rPr>
          <w:rFonts w:ascii="等线(中文正文)" w:hAnsi="等线(中文正文)" w:cs="等线(中文正文)" w:eastAsia="等线(中文正文)"/>
          <w:b w:val="false"/>
          <w:i w:val="false"/>
          <w:sz w:val="20"/>
        </w:rPr>
        <w:t>发言人1 答：需要重点关注的是7月份核心通胀是否延续降温趋势以及非农就业市场的复苏情况。</w:t>
      </w:r>
    </w:p>
    <w:p>
      <w:r>
        <w:rPr>
          <w:rFonts w:ascii="等线(中文正文)" w:hAnsi="等线(中文正文)" w:cs="等线(中文正文)" w:eastAsia="等线(中文正文)"/>
          <w:b w:val="false"/>
          <w:i w:val="false"/>
          <w:sz w:val="20"/>
        </w:rPr>
        <w:t/>
      </w:r>
    </w:p>
    <w:p>
      <w:pPr>
        <w:pStyle w:val="ab"/>
      </w:pPr>
      <w:r>
        <w:t>发言人1 问：本周五有哪些重要的会议动态？</w:t>
      </w:r>
    </w:p>
    <w:p>
      <w:r>
        <w:rPr>
          <w:rFonts w:ascii="等线(中文正文)" w:hAnsi="等线(中文正文)" w:cs="等线(中文正文)" w:eastAsia="等线(中文正文)"/>
          <w:b w:val="false"/>
          <w:i w:val="false"/>
          <w:sz w:val="20"/>
        </w:rPr>
        <w:t>发言人1 答：本周五可以关注两位地方联储主席的讲话，下旬则需关注美联储7月份货币政策会议的纪要，月底则应关注杰克逊霍尔会议上石的发言。</w:t>
      </w:r>
    </w:p>
    <w:p>
      <w:r>
        <w:rPr>
          <w:rFonts w:ascii="等线(中文正文)" w:hAnsi="等线(中文正文)" w:cs="等线(中文正文)" w:eastAsia="等线(中文正文)"/>
          <w:b w:val="false"/>
          <w:i w:val="false"/>
          <w:sz w:val="20"/>
        </w:rPr>
        <w:t/>
      </w:r>
    </w:p>
    <w:p>
      <w:pPr>
        <w:pStyle w:val="ab"/>
      </w:pPr>
      <w:r>
        <w:t>发言人1 问：近期权益市场表现如何？转债市场的情况怎样？</w:t>
      </w:r>
    </w:p>
    <w:p>
      <w:r>
        <w:rPr>
          <w:rFonts w:ascii="等线(中文正文)" w:hAnsi="等线(中文正文)" w:cs="等线(中文正文)" w:eastAsia="等线(中文正文)"/>
          <w:b w:val="false"/>
          <w:i w:val="false"/>
          <w:sz w:val="20"/>
        </w:rPr>
        <w:t>发言人1 答：权益市场分化明显，科技板块回调，其他板块恢复。上证指数微涨0.36%，创业板指下跌4.09%，而中证转债指数涨了1.4%，整体强于股指，主要原因是偏债性的转债占比持续提升，债型转债表现较好托底了转债指数。</w:t>
      </w:r>
    </w:p>
    <w:p>
      <w:r>
        <w:rPr>
          <w:rFonts w:ascii="等线(中文正文)" w:hAnsi="等线(中文正文)" w:cs="等线(中文正文)" w:eastAsia="等线(中文正文)"/>
          <w:b w:val="false"/>
          <w:i w:val="false"/>
          <w:sz w:val="20"/>
        </w:rPr>
        <w:t/>
      </w:r>
    </w:p>
    <w:p>
      <w:pPr>
        <w:pStyle w:val="ab"/>
      </w:pPr>
      <w:r>
        <w:t>发言人1 问：在当前市场环境下，有什么投资建议可以分享给投资者？</w:t>
      </w:r>
    </w:p>
    <w:p>
      <w:r>
        <w:rPr>
          <w:rFonts w:ascii="等线(中文正文)" w:hAnsi="等线(中文正文)" w:cs="等线(中文正文)" w:eastAsia="等线(中文正文)"/>
          <w:b w:val="false"/>
          <w:i w:val="false"/>
          <w:sz w:val="20"/>
        </w:rPr>
        <w:t>发言人1 答：建议一是不要集中投资单一品种，要进行分散配置；二是配置固收类基金作为压舱石，在行情波动时增强信心；三是巧用持有期产品，设置自律投资期限，避免追涨杀跌。</w:t>
      </w:r>
    </w:p>
    <w:p>
      <w:r>
        <w:rPr>
          <w:rFonts w:ascii="等线(中文正文)" w:hAnsi="等线(中文正文)" w:cs="等线(中文正文)" w:eastAsia="等线(中文正文)"/>
          <w:b w:val="false"/>
          <w:i w:val="false"/>
          <w:sz w:val="20"/>
        </w:rPr>
        <w:t/>
      </w:r>
    </w:p>
    <w:p>
      <w:pPr>
        <w:pStyle w:val="ab"/>
      </w:pPr>
      <w:r>
        <w:t>发言人1 问：资产配置金字塔应该如何构建？</w:t>
      </w:r>
    </w:p>
    <w:p>
      <w:r>
        <w:rPr>
          <w:rFonts w:ascii="等线(中文正文)" w:hAnsi="等线(中文正文)" w:cs="等线(中文正文)" w:eastAsia="等线(中文正文)"/>
          <w:b w:val="false"/>
          <w:i w:val="false"/>
          <w:sz w:val="20"/>
        </w:rPr>
        <w:t>发言人1 答：资产配置金字塔顶端推荐权益类产品以实现收益进攻；中间层推荐固收类理财产品，如短债基金、中长债基金和固收加基金；底层则适合存放活期资金，如货币基金，以便于灵活取用。</w:t>
      </w:r>
    </w:p>
    <w:p>
      <w:r>
        <w:rPr>
          <w:rFonts w:ascii="等线(中文正文)" w:hAnsi="等线(中文正文)" w:cs="等线(中文正文)" w:eastAsia="等线(中文正文)"/>
          <w:b w:val="false"/>
          <w:i w:val="false"/>
          <w:sz w:val="20"/>
        </w:rPr>
        <w:t/>
      </w:r>
    </w:p>
    <w:p>
      <w:pPr>
        <w:pStyle w:val="ab"/>
      </w:pPr>
      <w:r>
        <w:t>发言人1 问：如何看待后续利率债市场和信用债市场的表现？</w:t>
      </w:r>
    </w:p>
    <w:p>
      <w:r>
        <w:rPr>
          <w:rFonts w:ascii="等线(中文正文)" w:hAnsi="等线(中文正文)" w:cs="等线(中文正文)" w:eastAsia="等线(中文正文)"/>
          <w:b w:val="false"/>
          <w:i w:val="false"/>
          <w:sz w:val="20"/>
        </w:rPr>
        <w:t>发言人1 答：利率市场方面，由于政府债大规模供给未开始，资金面预计边际转松，银行融出逐步修复稳定在3万亿以上，财政方面可能加快专项债发行和政策性金融工具落地。综合来看，建议采取哑铃型配置策略，对于十年期国债可以择机适度止盈。</w:t>
      </w:r>
    </w:p>
    <w:p>
      <w:r>
        <w:rPr>
          <w:rFonts w:ascii="等线(中文正文)" w:hAnsi="等线(中文正文)" w:cs="等线(中文正文)" w:eastAsia="等线(中文正文)"/>
          <w:b w:val="false"/>
          <w:i w:val="false"/>
          <w:sz w:val="20"/>
        </w:rPr>
        <w:t/>
      </w:r>
    </w:p>
    <w:p>
      <w:pPr>
        <w:pStyle w:val="ab"/>
      </w:pPr>
      <w:r>
        <w:t>发言人1 问：在信用债方面，对于8月份的市场策略有何建议？在当前信用债市场环境下，有哪些关键点需要重点把握？</w:t>
      </w:r>
    </w:p>
    <w:p>
      <w:r>
        <w:rPr>
          <w:rFonts w:ascii="等线(中文正文)" w:hAnsi="等线(中文正文)" w:cs="等线(中文正文)" w:eastAsia="等线(中文正文)"/>
          <w:b w:val="false"/>
          <w:i w:val="false"/>
          <w:sz w:val="20"/>
        </w:rPr>
        <w:t>发言人1 答：八月份对于信用债市场的整体策略建议以防守为主，原因包括融资监管维持高压态势、资金价格难以回到上半年低点、以及监管加码后偿债压力增大，导致信用下沉市场的诉求减弱。重点需要关注三个方面：一是观察主体评级动态以把握评级下调执行力度的变化；二是关注焦点区域监管约束是否会有进一步增强的趋势；三是主体评级落地后，部分主体市场企稳情况以及地产行业估值可能出现的分化格局，适时把握右侧布局机会。</w:t>
      </w:r>
    </w:p>
    <w:p>
      <w:r>
        <w:rPr>
          <w:rFonts w:ascii="等线(中文正文)" w:hAnsi="等线(中文正文)" w:cs="等线(中文正文)" w:eastAsia="等线(中文正文)"/>
          <w:b w:val="false"/>
          <w:i w:val="false"/>
          <w:sz w:val="20"/>
        </w:rPr>
        <w:t/>
      </w:r>
    </w:p>
    <w:p>
      <w:pPr>
        <w:pStyle w:val="ab"/>
      </w:pPr>
      <w:r>
        <w:t>发言人1 问：在具体板块选择上，有何推荐策略？</w:t>
      </w:r>
    </w:p>
    <w:p>
      <w:r>
        <w:rPr>
          <w:rFonts w:ascii="等线(中文正文)" w:hAnsi="等线(中文正文)" w:cs="等线(中文正文)" w:eastAsia="等线(中文正文)"/>
          <w:b w:val="false"/>
          <w:i w:val="false"/>
          <w:sz w:val="20"/>
        </w:rPr>
        <w:t>发言人1 答：对于短端一年以内的信用债，若资金不宽松，性价比相对偏低，建议关注ABS的配置价值。对于1-3年的城投债，若想规避非标、商标舆情及评级下调风险，可适当进行下沉投资或挖掘担保债的价值。</w:t>
      </w:r>
    </w:p>
    <w:p>
      <w:r>
        <w:rPr>
          <w:rFonts w:ascii="等线(中文正文)" w:hAnsi="等线(中文正文)" w:cs="等线(中文正文)" w:eastAsia="等线(中文正文)"/>
          <w:b w:val="false"/>
          <w:i w:val="false"/>
          <w:sz w:val="20"/>
        </w:rPr>
        <w:t/>
      </w:r>
    </w:p>
    <w:p>
      <w:pPr>
        <w:pStyle w:val="ab"/>
      </w:pPr>
      <w:r>
        <w:t>发言人1 问：对于产业链下沉投资的性价比如何？</w:t>
      </w:r>
    </w:p>
    <w:p>
      <w:r>
        <w:rPr>
          <w:rFonts w:ascii="等线(中文正文)" w:hAnsi="等线(中文正文)" w:cs="等线(中文正文)" w:eastAsia="等线(中文正文)"/>
          <w:b w:val="false"/>
          <w:i w:val="false"/>
          <w:sz w:val="20"/>
        </w:rPr>
        <w:t>发言人1 答：产业链下沉投资性价比相对偏低，因为当前收益普遍来自非景气行业。考虑到明年评级调整尺度可能收紧，建议预留余量，关注如钢铁、煤炭等高流动性主体及租赁行业绝对收益较高的部分主体。长期限方面，推荐3-5年普通信用债中收益曲线陡峭、具有吸筹价值的主体。</w:t>
      </w:r>
    </w:p>
    <w:p>
      <w:r>
        <w:rPr>
          <w:rFonts w:ascii="等线(中文正文)" w:hAnsi="等线(中文正文)" w:cs="等线(中文正文)" w:eastAsia="等线(中文正文)"/>
          <w:b w:val="false"/>
          <w:i w:val="false"/>
          <w:sz w:val="20"/>
        </w:rPr>
        <w:t/>
      </w:r>
    </w:p>
    <w:p>
      <w:pPr>
        <w:pStyle w:val="ab"/>
      </w:pPr>
      <w:r>
        <w:t>发言人1 问：对于没有持有期限制的纯债基金和固收加基金有何推荐？</w:t>
      </w:r>
    </w:p>
    <w:p>
      <w:r>
        <w:rPr>
          <w:rFonts w:ascii="等线(中文正文)" w:hAnsi="等线(中文正文)" w:cs="等线(中文正文)" w:eastAsia="等线(中文正文)"/>
          <w:b w:val="false"/>
          <w:i w:val="false"/>
          <w:sz w:val="20"/>
        </w:rPr>
        <w:t>发言人1 答：如果喜欢没有持有期的纯债基金，可以考虑汇永利产品；若偏好固收加产品，可关注上银丰益或上银国证自由现金流产品，其中后者在有色行情和科技回调中表现出逆势上涨的特点，适合作为底仓配置，并且注重资产配置的价值和控风险水平大于增收益能力。</w:t>
      </w:r>
    </w:p>
    <w:p>
      <w:r>
        <w:rPr>
          <w:rFonts w:ascii="等线(中文正文)" w:hAnsi="等线(中文正文)" w:cs="等线(中文正文)" w:eastAsia="等线(中文正文)"/>
          <w:b w:val="false"/>
          <w:i w:val="false"/>
          <w:sz w:val="20"/>
        </w:rPr>
        <w:t/>
      </w:r>
    </w:p>
    <w:p>
      <w:pPr>
        <w:pStyle w:val="ab"/>
      </w:pPr>
      <w:r>
        <w:t>发言人1 问：在当前的市场环境下，您对油价和黄金的配置建议是什么？</w:t>
      </w:r>
    </w:p>
    <w:p>
      <w:r>
        <w:rPr>
          <w:rFonts w:ascii="等线(中文正文)" w:hAnsi="等线(中文正文)" w:cs="等线(中文正文)" w:eastAsia="等线(中文正文)"/>
          <w:b w:val="false"/>
          <w:i w:val="false"/>
          <w:sz w:val="20"/>
        </w:rPr>
        <w:t>发言人1 答：我们建议在配置上更加均衡，关注成长性较强的科技自主可控板块的波段机会，并以中报业绩持续性为核心。同时，也应关注周期板块的部分配置机会以及部分右侧机会，以及防御属性较强的红利板块。</w:t>
      </w:r>
    </w:p>
    <w:p>
      <w:r>
        <w:rPr>
          <w:rFonts w:ascii="等线(中文正文)" w:hAnsi="等线(中文正文)" w:cs="等线(中文正文)" w:eastAsia="等线(中文正文)"/>
          <w:b w:val="false"/>
          <w:i w:val="false"/>
          <w:sz w:val="20"/>
        </w:rPr>
        <w:t/>
      </w:r>
    </w:p>
    <w:p>
      <w:pPr>
        <w:pStyle w:val="ab"/>
      </w:pPr>
      <w:r>
        <w:t>发言人1 问：转债市场当前的情况如何？您对转债市场的具体投资建议有哪些？</w:t>
      </w:r>
    </w:p>
    <w:p>
      <w:r>
        <w:rPr>
          <w:rFonts w:ascii="等线(中文正文)" w:hAnsi="等线(中文正文)" w:cs="等线(中文正文)" w:eastAsia="等线(中文正文)"/>
          <w:b w:val="false"/>
          <w:i w:val="false"/>
          <w:sz w:val="20"/>
        </w:rPr>
        <w:t>发言人1 答：转债市场估值维持在相对偏高的位置，供需层面矛盾较大，需求旺盛而供给近期有所放量。转债资质整体较好，但市场存在超前交易的回撤风险，特别是满足赎回条件的公司，赎回意愿较强。建议重点关注部分有确定性的高价低溢价转债、新发的优质转债以及偏防守的红利和低价转债。</w:t>
      </w:r>
    </w:p>
    <w:p>
      <w:r>
        <w:rPr>
          <w:rFonts w:ascii="等线(中文正文)" w:hAnsi="等线(中文正文)" w:cs="等线(中文正文)" w:eastAsia="等线(中文正文)"/>
          <w:b w:val="false"/>
          <w:i w:val="false"/>
          <w:sz w:val="20"/>
        </w:rPr>
        <w:t/>
      </w:r>
    </w:p>
    <w:p>
      <w:pPr>
        <w:pStyle w:val="ab"/>
      </w:pPr>
      <w:r>
        <w:t>发言人1 问：接下来您认为应该关注哪些热点政策或风险点？</w:t>
      </w:r>
    </w:p>
    <w:p>
      <w:r>
        <w:rPr>
          <w:rFonts w:ascii="等线(中文正文)" w:hAnsi="等线(中文正文)" w:cs="等线(中文正文)" w:eastAsia="等线(中文正文)"/>
          <w:b w:val="false"/>
          <w:i w:val="false"/>
          <w:sz w:val="20"/>
        </w:rPr>
        <w:t>发言人1 答：在八月，我们需要继续关注承诺监管政策，尤其是评级调降问题。目前3A评级数量较少，但终止评级或评级自然过期现象增多，3A占比有所下降。未来直接下调3A的概率较低，市场风险可能从地产转移至城投领域，特别是对于涉及较多非标舆情的3A2A加城投债。此外，还需关注房地产和部分省级建筑国企的新一期评级落地情况及其债券发行压力。</w:t>
      </w:r>
    </w:p>
    <w:p>
      <w:r>
        <w:rPr>
          <w:rFonts w:ascii="等线(中文正文)" w:hAnsi="等线(中文正文)" w:cs="等线(中文正文)" w:eastAsia="等线(中文正文)"/>
          <w:b w:val="false"/>
          <w:i w:val="false"/>
          <w:sz w:val="20"/>
        </w:rPr>
        <w:t/>
      </w:r>
    </w:p>
    <w:p>
      <w:pPr>
        <w:pStyle w:val="ab"/>
      </w:pPr>
      <w:r>
        <w:t>发言人1 问：对于城投债的风险评估是怎样的？</w:t>
      </w:r>
    </w:p>
    <w:p>
      <w:r>
        <w:rPr>
          <w:rFonts w:ascii="等线(中文正文)" w:hAnsi="等线(中文正文)" w:cs="等线(中文正文)" w:eastAsia="等线(中文正文)"/>
          <w:b w:val="false"/>
          <w:i w:val="false"/>
          <w:sz w:val="20"/>
        </w:rPr>
        <w:t>发言人1 答：七月份城投主体评级未被调降，但月底评级终止高峰较多。当前评级调整区域与监管重点关注区域重叠度较高，共同特征是历史上非标融资和违约舆情较多的区域。针对城投评级调整是整体监管目标的一部分，除评级调整外，监管还关注债务规模扩张问题。</w:t>
      </w:r>
    </w:p>
    <w:p>
      <w:r>
        <w:rPr>
          <w:rFonts w:ascii="等线(中文正文)" w:hAnsi="等线(中文正文)" w:cs="等线(中文正文)" w:eastAsia="等线(中文正文)"/>
          <w:b w:val="false"/>
          <w:i w:val="false"/>
          <w:sz w:val="20"/>
        </w:rPr>
        <w:t/>
      </w:r>
    </w:p>
    <w:p>
      <w:pPr>
        <w:pStyle w:val="ab"/>
      </w:pPr>
      <w:r>
        <w:t>发言人1 问：您如何看待市场对潜在评级下调主体的反应？</w:t>
      </w:r>
    </w:p>
    <w:p>
      <w:r>
        <w:rPr>
          <w:rFonts w:ascii="等线(中文正文)" w:hAnsi="等线(中文正文)" w:cs="等线(中文正文)" w:eastAsia="等线(中文正文)"/>
          <w:b w:val="false"/>
          <w:i w:val="false"/>
          <w:sz w:val="20"/>
        </w:rPr>
        <w:t>发言人1 答：目前市场关注度集中在评级下调区域，对于其他未出现下调主体的市场反应相对钝感，估值波动尚未出现明显传染性。不过，机构分歧度较高，认为后续可能有较大调整空间，这是八月份需要重点防范的风险。</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2026-08-08T05:04:36Z</dcterms:created>
  <dc:creator>Apache POI</dc:creator>
</cp:coreProperties>
</file>