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兴福电子 260724_导读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半导体 电子化学品 国产替代 技术壁垒 客户壁垒 营收增速 电子级磷酸 电子级硫酸 电子气体 封装材料 成本优势 晶圆厂 公司 成本压力 产能 新产品 增长 竞争优势 龙头 材料平台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半导体行业的快速增长背景下，一家西部的电子企业因其在半导体上游材料领域的独特地位，被专家视为极具投资价值的标的。该企业不仅拥有核心技术优势，形成难以逾越的市场壁垒，还与国内核心半导体企业保持着紧密的合作关系，同时在国际市场上正逐步扩大其份额。企业正积极研发新产品，致力于从单一材料供应商向综合性供应商的转型。专家分析，在国产化趋势与AI驱动的新周期中，该企业占据有利市场位置，预计未来将持续保持高速增长。因此，专家强烈建议投资者关注此企业，把握投资良机。</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西部电子：国产半导体材料龙头的崛起与未来</w:t>
      </w:r>
    </w:p>
    <w:p>
      <w:r>
        <w:rPr>
          <w:rFonts w:ascii="等线(中文正文)" w:hAnsi="等线(中文正文)" w:cs="等线(中文正文)" w:eastAsia="等线(中文正文)"/>
          <w:b w:val="false"/>
          <w:i w:val="false"/>
          <w:sz w:val="20"/>
        </w:rPr>
        <w:t>报告深入分析了西部电子作为国内稀缺的半导体上游材料企业，其在电子竞技三等高技术壁垒产品上的优势，以及与国内外核心客户的深度合作。公司正积极拓展新业务，迈向半导体材料品牌企业。行业背景显示，全球高端化学品市场正经历国产化加速，AI驱动下的半导体行业进入扩产周期，国内晶圆厂对国产材料需求上升。西部电子作为行业龙头，正站在国产替代和行业上行的关键节点，未来3到5年下游需求将呈指数级增长，上游材料市场迎来黄金窗口期。</w:t>
      </w:r>
    </w:p>
    <w:p>
      <w:r>
        <w:rPr>
          <w:rFonts w:ascii="等线(中文正文)" w:hAnsi="等线(中文正文)" w:cs="等线(中文正文)" w:eastAsia="等线(中文正文)"/>
          <w:b w:val="false"/>
          <w:i w:val="false"/>
          <w:sz w:val="20"/>
        </w:rPr>
        <w:t/>
      </w:r>
    </w:p>
    <w:p>
      <w:pPr>
        <w:pStyle w:val="ab"/>
        <w:numPr>
          <w:numId w:val="2"/>
        </w:numPr>
      </w:pPr>
      <w:r>
        <w:t>02:36 化工企业多元化业务布局与增长潜力分析</w:t>
      </w:r>
    </w:p>
    <w:p>
      <w:r>
        <w:rPr>
          <w:rFonts w:ascii="等线(中文正文)" w:hAnsi="等线(中文正文)" w:cs="等线(中文正文)" w:eastAsia="等线(中文正文)"/>
          <w:b w:val="false"/>
          <w:i w:val="false"/>
          <w:sz w:val="20"/>
        </w:rPr>
        <w:t>公司自2008年成立以来，依托新华集团资源，发展成为国内产品线最全的本土供应商，2025年营收与净利润预计增长30%。核心业务涵盖通用化学品、功能性化学品和回收业务，其中电子级磷酸占据国内市场近80%份额，具有全球领先技术。未来，公司将通过提升IC级产品比重和拓展海外市场，维持高利润率。功能性化学品虽收入占比低，但毛利率高达70%，通过定制化研发实现快速增长。回收业务体现产业链协同策略，虽非利润主力，但长期价值显著。</w:t>
      </w:r>
    </w:p>
    <w:p>
      <w:r>
        <w:rPr>
          <w:rFonts w:ascii="等线(中文正文)" w:hAnsi="等线(中文正文)" w:cs="等线(中文正文)" w:eastAsia="等线(中文正文)"/>
          <w:b w:val="false"/>
          <w:i w:val="false"/>
          <w:sz w:val="20"/>
        </w:rPr>
        <w:t/>
      </w:r>
    </w:p>
    <w:p>
      <w:pPr>
        <w:pStyle w:val="ab"/>
        <w:numPr>
          <w:numId w:val="3"/>
        </w:numPr>
      </w:pPr>
      <w:r>
        <w:t>09:20 公司前瞻性业务布局与半导体材料产业转型升级</w:t>
      </w:r>
    </w:p>
    <w:p>
      <w:r>
        <w:rPr>
          <w:rFonts w:ascii="等线(中文正文)" w:hAnsi="等线(中文正文)" w:cs="等线(中文正文)" w:eastAsia="等线(中文正文)"/>
          <w:b w:val="false"/>
          <w:i w:val="false"/>
          <w:sz w:val="20"/>
        </w:rPr>
        <w:t>公司正培育电子气体、先进新材料及封装新材料三大前瞻性业务，以实现从单一试电行业龙头向综合性半导体材料产业的转型升级。通过与新发集团合资成立的合资公司，公司已建成1万1千多件减压器并进入客户测试阶段，电子级磷烷产品达到CN级，国内最高水平，规划2027年产能达100吨。光影化剂与六甲基22对1但等产品，以及三股合作研发的封装新材料，均展现出强劲的市场潜力与成本优势，预计将成为公司未来利润增长的重要来源。</w:t>
      </w:r>
    </w:p>
    <w:p>
      <w:r>
        <w:rPr>
          <w:rFonts w:ascii="等线(中文正文)" w:hAnsi="等线(中文正文)" w:cs="等线(中文正文)" w:eastAsia="等线(中文正文)"/>
          <w:b w:val="false"/>
          <w:i w:val="false"/>
          <w:sz w:val="20"/>
        </w:rPr>
        <w:t/>
      </w:r>
    </w:p>
    <w:p>
      <w:pPr>
        <w:pStyle w:val="ab"/>
        <w:numPr>
          <w:numId w:val="4"/>
        </w:numPr>
      </w:pPr>
      <w:r>
        <w:t>13:40 公司核心特点与国产替代趋势分析</w:t>
      </w:r>
    </w:p>
    <w:p>
      <w:r>
        <w:rPr>
          <w:rFonts w:ascii="等线(中文正文)" w:hAnsi="等线(中文正文)" w:cs="等线(中文正文)" w:eastAsia="等线(中文正文)"/>
          <w:b w:val="false"/>
          <w:i w:val="false"/>
          <w:sz w:val="20"/>
        </w:rPr>
        <w:t>会议讨论了公司在行业上行及国产替代趋势下的核心优势，包括全球半导体产业链的深度参与、生态化成长战略及清晰的成长路径。公司正从国内龙头向材料平台跃迁，受益于AI驱动需求和国产替代浪潮，具备强劲成长逻辑与业绩兑现度，建议投资者持续关注。</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全面汇报了化工行业现状与公司发展。指出公司作为半导体上游材料领域具备稀缺性与技术、客户壁垒的企业，与国内主要存储和半导体企业深度合作，计划扩大海外市场份额，目标成为行业知名品牌。全球化学品在半导体制造中长期被外资主导，但国内需求增长，预计2024年国产化率近50%。公司作为国内龙头，受益于行业上行及国产替代，通过研发和并购扩展业务，增强客户粘性，预计2026年收入增速达2%至35%。他对公司的未来表现持乐观态度，建议投资者持续关注。</w:t>
      </w:r>
    </w:p>
    <w:p>
      <w:r>
        <w:rPr>
          <w:rFonts w:ascii="等线(中文正文)" w:hAnsi="等线(中文正文)" w:cs="等线(中文正文)" w:eastAsia="等线(中文正文)"/>
          <w:b w:val="false"/>
          <w:i w:val="false"/>
          <w:sz w:val="20"/>
        </w:rPr>
        <w:t/>
      </w:r>
    </w:p>
    <w:p>
      <w:pPr>
        <w:pStyle w:val="a7"/>
      </w:pPr>
      <w:r>
        <w:t>要点回顾</w:t>
      </w:r>
    </w:p>
    <w:p>
      <w:pPr>
        <w:pStyle w:val="ab"/>
      </w:pPr>
      <w:r>
        <w:t>公司作为半导体材料供应商，当前与哪些国内存储和半导体核心客户保持深度合作？公司在全球半导体材料市场的竞争地位如何？</w:t>
      </w:r>
    </w:p>
    <w:p>
      <w:r>
        <w:rPr>
          <w:rFonts w:ascii="等线(中文正文)" w:hAnsi="等线(中文正文)" w:cs="等线(中文正文)" w:eastAsia="等线(中文正文)"/>
          <w:b w:val="false"/>
          <w:i w:val="false"/>
          <w:sz w:val="20"/>
        </w:rPr>
        <w:t>发言人1：目前公司与国内多个存储及半导体的核心客户保持深度合作，未来有望在海外市场进一步提升市占率。公司作为国内实践的绝对龙头，站在行业上行和国产替代改革的前沿，正迎来下游需求指数级增长的黄金窗口期。</w:t>
      </w:r>
    </w:p>
    <w:p>
      <w:r>
        <w:rPr>
          <w:rFonts w:ascii="等线(中文正文)" w:hAnsi="等线(中文正文)" w:cs="等线(中文正文)" w:eastAsia="等线(中文正文)"/>
          <w:b w:val="false"/>
          <w:i w:val="false"/>
          <w:sz w:val="20"/>
        </w:rPr>
        <w:t/>
      </w:r>
    </w:p>
    <w:p>
      <w:pPr>
        <w:pStyle w:val="ab"/>
      </w:pPr>
      <w:r>
        <w:t>公司的基本情况和发展历程是怎样的？</w:t>
      </w:r>
    </w:p>
    <w:p>
      <w:r>
        <w:rPr>
          <w:rFonts w:ascii="等线(中文正文)" w:hAnsi="等线(中文正文)" w:cs="等线(中文正文)" w:eastAsia="等线(中文正文)"/>
          <w:b w:val="false"/>
          <w:i w:val="false"/>
          <w:sz w:val="20"/>
        </w:rPr>
        <w:t>发言人1：公司成立于2008年，由新华集团持股40%，依托其上游磷矿石、黄磷、热法和湿法磷酸等工业路径，并结合自身技术积累沉淀，已成为国内产品线最齐全、客户覆盖度最广的本土供应商。</w:t>
      </w:r>
    </w:p>
    <w:p>
      <w:r>
        <w:rPr>
          <w:rFonts w:ascii="等线(中文正文)" w:hAnsi="等线(中文正文)" w:cs="等线(中文正文)" w:eastAsia="等线(中文正文)"/>
          <w:b w:val="false"/>
          <w:i w:val="false"/>
          <w:sz w:val="20"/>
        </w:rPr>
        <w:t/>
      </w:r>
    </w:p>
    <w:p>
      <w:pPr>
        <w:pStyle w:val="ab"/>
      </w:pPr>
      <w:r>
        <w:t>公司当前的核心业务板块有哪些？电子级磷酸这一产品的市场状况如何？</w:t>
      </w:r>
    </w:p>
    <w:p>
      <w:r>
        <w:rPr>
          <w:rFonts w:ascii="等线(中文正文)" w:hAnsi="等线(中文正文)" w:cs="等线(中文正文)" w:eastAsia="等线(中文正文)"/>
          <w:b w:val="false"/>
          <w:i w:val="false"/>
          <w:sz w:val="20"/>
        </w:rPr>
        <w:t>发言人1：公司当前的核心业务板块分为三个部分：通用化学品（如电子级磷酸、电子级硫酸和电子级双氧水）、功能性化学品以及回收业务。电子级磷酸是公司最核心的产品，国内市场份额接近80%，并且是唯一可以导入中原厂供应链的国产供应商，拥有6万吨产能，新增4万吨产能将在今年9月份投产，届时总产能将达到10万吨，将超越日本同行，成为全球领先的电子级磷酸供应商。</w:t>
      </w:r>
    </w:p>
    <w:p>
      <w:r>
        <w:rPr>
          <w:rFonts w:ascii="等线(中文正文)" w:hAnsi="等线(中文正文)" w:cs="等线(中文正文)" w:eastAsia="等线(中文正文)"/>
          <w:b w:val="false"/>
          <w:i w:val="false"/>
          <w:sz w:val="20"/>
        </w:rPr>
        <w:t/>
      </w:r>
    </w:p>
    <w:p>
      <w:pPr>
        <w:pStyle w:val="ab"/>
      </w:pPr>
      <w:r>
        <w:t>公司电子级硫酸的生产及市场情况如何？</w:t>
      </w:r>
    </w:p>
    <w:p>
      <w:r>
        <w:rPr>
          <w:rFonts w:ascii="等线(中文正文)" w:hAnsi="等线(中文正文)" w:cs="等线(中文正文)" w:eastAsia="等线(中文正文)"/>
          <w:b w:val="false"/>
          <w:i w:val="false"/>
          <w:sz w:val="20"/>
        </w:rPr>
        <w:t>发言人1：公司电子级硫酸产能约为13万吨，出货量在国内前列，产品成熟且先进，覆盖了大量优质客户。尽管去年流放价格冲高导致利润率压缩，但公司已提价应对，且随着市场价格回落及海外市场产品的导入，利用率修复空间较大。</w:t>
      </w:r>
    </w:p>
    <w:p>
      <w:r>
        <w:rPr>
          <w:rFonts w:ascii="等线(中文正文)" w:hAnsi="等线(中文正文)" w:cs="等线(中文正文)" w:eastAsia="等线(中文正文)"/>
          <w:b w:val="false"/>
          <w:i w:val="false"/>
          <w:sz w:val="20"/>
        </w:rPr>
        <w:t/>
      </w:r>
    </w:p>
    <w:p>
      <w:pPr>
        <w:pStyle w:val="ab"/>
      </w:pPr>
      <w:r>
        <w:t>公司的产品主要有哪些品类，以及它们的特点是什么？</w:t>
      </w:r>
    </w:p>
    <w:p>
      <w:r>
        <w:rPr>
          <w:rFonts w:ascii="等线(中文正文)" w:hAnsi="等线(中文正文)" w:cs="等线(中文正文)" w:eastAsia="等线(中文正文)"/>
          <w:b w:val="false"/>
          <w:i w:val="false"/>
          <w:sz w:val="20"/>
        </w:rPr>
        <w:t>发言人1：公司的产品主要包括IC级的止咳液、清洗液、玻璃液等多个品类，虽然单个产品的质量和规模可能不大，但由于具有较强的与下游客户共同研发定制的技术化属性，因此具备较强盈利能力。其中部分产品的单品毛利率甚至能超过70%。公司每年都会进行客户导入和新产品测试，并且实验室储备项目较多，整体研发和导入节奏快速。去年有两款产品成功导入头部企业体系并在今年放量贡献利润，预计该板块利润率将呈现接近翻倍的趋势。</w:t>
      </w:r>
    </w:p>
    <w:p>
      <w:r>
        <w:rPr>
          <w:rFonts w:ascii="等线(中文正文)" w:hAnsi="等线(中文正文)" w:cs="等线(中文正文)" w:eastAsia="等线(中文正文)"/>
          <w:b w:val="false"/>
          <w:i w:val="false"/>
          <w:sz w:val="20"/>
        </w:rPr>
        <w:t/>
      </w:r>
    </w:p>
    <w:p>
      <w:pPr>
        <w:pStyle w:val="ab"/>
      </w:pPr>
      <w:r>
        <w:t>除了三大核心板块外，公司在培育的前瞻业务有哪些？公司的新材料产品中，光影化剂的地位如何？</w:t>
      </w:r>
    </w:p>
    <w:p>
      <w:r>
        <w:rPr>
          <w:rFonts w:ascii="等线(中文正文)" w:hAnsi="等线(中文正文)" w:cs="等线(中文正文)" w:eastAsia="等线(中文正文)"/>
          <w:b w:val="false"/>
          <w:i w:val="false"/>
          <w:sz w:val="20"/>
        </w:rPr>
        <w:t>发言人1：公司正在培育三个前瞻性业务板块，分别是电子气体、先进新材料和封装新材料。这些产品将帮助公司从单一的试电行业龙头转型为综合性半导体材料产业。例如，公司与南大光电合资成立的合资公司生产1万件减压器，已经建成并处于客户测试阶段。另外，公司在电子级磷烷方面已达到CN级最高水平，拥有显著的成本优势和技术壁垒，并计划在未来几年内逐步扩大产能。光影化剂是公司新材料板块中较为重要的产品，公司在去年年底牵头成立的三家实验室购入了具备先进技术的光影化剂产品，该产品面向一线光合交易场景，过去有极大比例依赖日韩进口。预计第一条生产线将在今年9月份投产，随着客户导入的推进，该产品的市场导入空间仍较大，有望成为继电子产品之后第二大利润贡献源。</w:t>
      </w:r>
    </w:p>
    <w:p>
      <w:r>
        <w:rPr>
          <w:rFonts w:ascii="等线(中文正文)" w:hAnsi="等线(中文正文)" w:cs="等线(中文正文)" w:eastAsia="等线(中文正文)"/>
          <w:b w:val="false"/>
          <w:i w:val="false"/>
          <w:sz w:val="20"/>
        </w:rPr>
        <w:t/>
      </w:r>
    </w:p>
    <w:p>
      <w:pPr>
        <w:pStyle w:val="ab"/>
      </w:pPr>
      <w:r>
        <w:t>公司的核心特点有哪些？</w:t>
      </w:r>
    </w:p>
    <w:p>
      <w:r>
        <w:rPr>
          <w:rFonts w:ascii="等线(中文正文)" w:hAnsi="等线(中文正文)" w:cs="等线(中文正文)" w:eastAsia="等线(中文正文)"/>
          <w:b w:val="false"/>
          <w:i w:val="false"/>
          <w:sz w:val="20"/>
        </w:rPr>
        <w:t>发言人1：公司的核心特点归纳为三点：一是行业上行与国产替代双轮驱动，受益于地缘政治因素加速本土供应商导入以及海外原料供应紧张问题，同时半导体市场需求持续增长；二是生态化成长，通过研发、并购等方式向各个方向全面拓展，提升客户粘性并丰富产品线，增强盈利水平；三是有清晰的成长路径，预计未来几年收入增速将持续高位，受益于成本压力缓解、产能满销以及新产品的增量贡献。</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2026-08-08T05:03:50Z</dcterms:created>
  <dc:creator>Apache POI</dc:creator>
</cp:coreProperties>
</file>