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中金公司 _ 再鼎医药2026年第二季度业绩发布电话会 260807_导读</w:t>
      </w:r>
    </w:p>
    <w:p>
      <w:pPr>
        <w:pStyle w:val="a0"/>
        <w:jc w:val="center"/>
      </w:pPr>
      <w:r>
        <w:t>2026年08月08日 12:41</w:t>
      </w:r>
    </w:p>
    <w:p>
      <w:pPr>
        <w:pStyle w:val="a7"/>
      </w:pPr>
      <w:r>
        <w:t>关键词</w:t>
      </w:r>
    </w:p>
    <w:p>
      <w:r>
        <w:rPr>
          <w:rFonts w:ascii="等线(中文正文)" w:hAnsi="等线(中文正文)" w:cs="等线(中文正文)" w:eastAsia="等线(中文正文)"/>
          <w:b w:val="false"/>
          <w:i w:val="false"/>
          <w:sz w:val="20"/>
        </w:rPr>
        <w:t xml:space="preserve">再鼎医药 二季度业绩 产品净收入 全球创新药 研发管线 小细胞肺癌 神经内分泌瘤 商业化盈利 Z11503 特异性皮炎 G16201 现金储备 长期价值 医保准入 皮下注射剂型 静脉输入剂型 核心品牌 商业化 股东利益 医保环境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中金公司举行了一场专为2026年第二季度业绩发布的闭门电话会议，强调交流内容仅作参考，不构成投资建议。会议重点讨论了正鼎医药的业绩与前景，包括其商业化成就、产品研发动态及未来规划。特别提到了公司在全球范围内推进创新药物开发的雄心，着重介绍了几个处于临床试验阶段的核心产品及其市场潜力，并探讨了如何在竞争激烈的市场中优化产品策略。会议最后，主持人对所有参与者的关注表示感谢，并表达了对正鼎医药未来发展充满信心的态度。</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再鼎医药2026年二季度业绩电话会</w:t>
      </w:r>
    </w:p>
    <w:p>
      <w:r>
        <w:rPr>
          <w:rFonts w:ascii="等线(中文正文)" w:hAnsi="等线(中文正文)" w:cs="等线(中文正文)" w:eastAsia="等线(中文正文)"/>
          <w:b w:val="false"/>
          <w:i w:val="false"/>
          <w:sz w:val="20"/>
        </w:rPr>
        <w:t>中金公司联合十家券商举办再鼎医药2026年二季度业绩电话会，强调会议内容仅供内部参考，不构成投资建议。会上介绍了公司商业化业绩持续盈利，产品净收入环比增长11%，并预告了多个全球创新药研发管线的重要催化节点，包括DF three的进展和下半年的emo等研究，期待未来显著增长。</w:t>
      </w:r>
    </w:p>
    <w:p>
      <w:r>
        <w:rPr>
          <w:rFonts w:ascii="等线(中文正文)" w:hAnsi="等线(中文正文)" w:cs="等线(中文正文)" w:eastAsia="等线(中文正文)"/>
          <w:b w:val="false"/>
          <w:i w:val="false"/>
          <w:sz w:val="20"/>
        </w:rPr>
        <w:t/>
      </w:r>
    </w:p>
    <w:p>
      <w:pPr>
        <w:pStyle w:val="ab"/>
        <w:numPr>
          <w:numId w:val="2"/>
        </w:numPr>
      </w:pPr>
      <w:r>
        <w:t>03:58 全球生物制药公司的发展与创新药物研究</w:t>
      </w:r>
    </w:p>
    <w:p>
      <w:r>
        <w:rPr>
          <w:rFonts w:ascii="等线(中文正文)" w:hAnsi="等线(中文正文)" w:cs="等线(中文正文)" w:eastAsia="等线(中文正文)"/>
          <w:b w:val="false"/>
          <w:i w:val="false"/>
          <w:sz w:val="20"/>
        </w:rPr>
        <w:t>公司正从区域性业务向全球生物制药公司转型，致力于研发first in class或best in class药物。计划提交首个美国新药上市申请，已在肿瘤与免疫领域开展全球多中心临床研究，推进临床前管线至IND阶段。预计年底有三项注册性研究同步进行，合作探索联合治疗方案。商业化业务聚焦核心品牌，收入增长，预计2027年实现显著同比增长，2028年有望实现美国产品上市。</w:t>
      </w:r>
    </w:p>
    <w:p>
      <w:r>
        <w:rPr>
          <w:rFonts w:ascii="等线(中文正文)" w:hAnsi="等线(中文正文)" w:cs="等线(中文正文)" w:eastAsia="等线(中文正文)"/>
          <w:b w:val="false"/>
          <w:i w:val="false"/>
          <w:sz w:val="20"/>
        </w:rPr>
        <w:t/>
      </w:r>
    </w:p>
    <w:p>
      <w:pPr>
        <w:pStyle w:val="ab"/>
        <w:numPr>
          <w:numId w:val="3"/>
        </w:numPr>
      </w:pPr>
      <w:r>
        <w:t>07:26 全球管线进展与ADC药物在难治性肿瘤治疗中的突破</w:t>
      </w:r>
    </w:p>
    <w:p>
      <w:r>
        <w:rPr>
          <w:rFonts w:ascii="等线(中文正文)" w:hAnsi="等线(中文正文)" w:cs="等线(中文正文)" w:eastAsia="等线(中文正文)"/>
          <w:b w:val="false"/>
          <w:i w:val="false"/>
          <w:sz w:val="20"/>
        </w:rPr>
        <w:t>讨论了针对DLLC的ADC药物在小细胞肺癌治疗中的显著疗效和安全性，以及其作为基石药物的潜力。计划于2027年完成二期研究并提交加速批准申请，预计2028年获批。同时，提及了在肺外神经内分泌癌领域的高ORR，以及与合作伙伴共同推进的多项研究，包括三联方案和神经内分泌癌的全球研究。年底将有三项注册性研究同步推进，显示了全球管线的快速进展。</w:t>
      </w:r>
    </w:p>
    <w:p>
      <w:r>
        <w:rPr>
          <w:rFonts w:ascii="等线(中文正文)" w:hAnsi="等线(中文正文)" w:cs="等线(中文正文)" w:eastAsia="等线(中文正文)"/>
          <w:b w:val="false"/>
          <w:i w:val="false"/>
          <w:sz w:val="20"/>
        </w:rPr>
        <w:t/>
      </w:r>
    </w:p>
    <w:p>
      <w:pPr>
        <w:pStyle w:val="ab"/>
        <w:numPr>
          <w:numId w:val="4"/>
        </w:numPr>
      </w:pPr>
      <w:r>
        <w:t>11:26 长效双特异性抗体Z11503：特异性皮炎治疗新选择</w:t>
      </w:r>
    </w:p>
    <w:p>
      <w:r>
        <w:rPr>
          <w:rFonts w:ascii="等线(中文正文)" w:hAnsi="等线(中文正文)" w:cs="等线(中文正文)" w:eastAsia="等线(中文正文)"/>
          <w:b w:val="false"/>
          <w:i w:val="false"/>
          <w:sz w:val="20"/>
        </w:rPr>
        <w:t>Z11503是一款长效双特异性抗体，靶向L13白细胞介素13和L31受体阿尔法，旨在打破瘙痒挠抓炎症循环，为中重度特异性皮炎患者提供快速起效、疗效持久的治疗选择。目前进入临床阶段，预计今年下半年公布首次人体数据，包括药代动力学、药效学、安全性和免疫原性初步数据。项目正快速推进，未来有望拓展至其他由L13和L31介导的疾病，为全球免疫领域带来差异化治疗方案。</w:t>
      </w:r>
    </w:p>
    <w:p>
      <w:r>
        <w:rPr>
          <w:rFonts w:ascii="等线(中文正文)" w:hAnsi="等线(中文正文)" w:cs="等线(中文正文)" w:eastAsia="等线(中文正文)"/>
          <w:b w:val="false"/>
          <w:i w:val="false"/>
          <w:sz w:val="20"/>
        </w:rPr>
        <w:t/>
      </w:r>
    </w:p>
    <w:p>
      <w:pPr>
        <w:pStyle w:val="ab"/>
        <w:numPr>
          <w:numId w:val="5"/>
        </w:numPr>
      </w:pPr>
      <w:r>
        <w:t>15:09 公司展望2027年显著增长，创新管线成核心引擎</w:t>
      </w:r>
    </w:p>
    <w:p>
      <w:r>
        <w:rPr>
          <w:rFonts w:ascii="等线(中文正文)" w:hAnsi="等线(中文正文)" w:cs="等线(中文正文)" w:eastAsia="等线(中文正文)"/>
          <w:b w:val="false"/>
          <w:i w:val="false"/>
          <w:sz w:val="20"/>
        </w:rPr>
        <w:t>从财务角度看，公司目标是巩固商业化盈利业务，审慎投资创新。二季度产品收入环比增长11%，艾加莫德销量双位数增长，鼎优乐需求强劲。下半年预计稳定销售，为2027年显著增长打基础。FT、卡T等新药有望解决未满足医疗需求，阿西阿加莫德正推进医保准入。2027年后，自主研发管线将成为收入和利润率重要驱动力。费用上，深圳优先投入高价值项目，应用AI提升生产力，预计运营费用七年大致稳定。二季度末现金储备7.175亿美元，保障财务灵活性。公司盈利业务、审慎投资及创新管线，将为患者和股东持续创造价值。</w:t>
      </w:r>
    </w:p>
    <w:p>
      <w:r>
        <w:rPr>
          <w:rFonts w:ascii="等线(中文正文)" w:hAnsi="等线(中文正文)" w:cs="等线(中文正文)" w:eastAsia="等线(中文正文)"/>
          <w:b w:val="false"/>
          <w:i w:val="false"/>
          <w:sz w:val="20"/>
        </w:rPr>
        <w:t/>
      </w:r>
    </w:p>
    <w:p>
      <w:pPr>
        <w:pStyle w:val="ab"/>
        <w:numPr>
          <w:numId w:val="6"/>
        </w:numPr>
      </w:pPr>
      <w:r>
        <w:t>18:43 公司对JOC和ZL1503全球商业化合作的展望</w:t>
      </w:r>
    </w:p>
    <w:p>
      <w:r>
        <w:rPr>
          <w:rFonts w:ascii="等线(中文正文)" w:hAnsi="等线(中文正文)" w:cs="等线(中文正文)" w:eastAsia="等线(中文正文)"/>
          <w:b w:val="false"/>
          <w:i w:val="false"/>
          <w:sz w:val="20"/>
        </w:rPr>
        <w:t>在开放提问环节，分析师询问了对公司两个产品JOC和ZL1503全球商业化合作的最新想法及长期价值的看法。公司表示对这两个产品充满信心，认为团队已准备好推动产品全球化，包括临床研发和商业化。公司强调将基于股东利益最大化的原则，灵活选择合作与回报策略，同时建立商业化团队以应对未来挑战。</w:t>
      </w:r>
    </w:p>
    <w:p>
      <w:r>
        <w:rPr>
          <w:rFonts w:ascii="等线(中文正文)" w:hAnsi="等线(中文正文)" w:cs="等线(中文正文)" w:eastAsia="等线(中文正文)"/>
          <w:b w:val="false"/>
          <w:i w:val="false"/>
          <w:sz w:val="20"/>
        </w:rPr>
        <w:t/>
      </w:r>
    </w:p>
    <w:p>
      <w:pPr>
        <w:pStyle w:val="ab"/>
        <w:numPr>
          <w:numId w:val="7"/>
        </w:numPr>
      </w:pPr>
      <w:r>
        <w:t>21:26 公司未来增长预期与核心动力分析</w:t>
      </w:r>
    </w:p>
    <w:p>
      <w:r>
        <w:rPr>
          <w:rFonts w:ascii="等线(中文正文)" w:hAnsi="等线(中文正文)" w:cs="等线(中文正文)" w:eastAsia="等线(中文正文)"/>
          <w:b w:val="false"/>
          <w:i w:val="false"/>
          <w:sz w:val="20"/>
        </w:rPr>
        <w:t>对话围绕公司下半年收入预期、产品线拆分及2027年增长驱动因素展开讨论。公司强调商业化聚焦与股东回报最大化，同时指出全球管线布局的重要性。尽管未具体拆分产品预期，但明确了提升盈利能力和关注研发管线的战略方向。投资者被鼓励关注公司的全球进展与核心管线价值。</w:t>
      </w:r>
    </w:p>
    <w:p>
      <w:r>
        <w:rPr>
          <w:rFonts w:ascii="等线(中文正文)" w:hAnsi="等线(中文正文)" w:cs="等线(中文正文)" w:eastAsia="等线(中文正文)"/>
          <w:b w:val="false"/>
          <w:i w:val="false"/>
          <w:sz w:val="20"/>
        </w:rPr>
        <w:t/>
      </w:r>
    </w:p>
    <w:p>
      <w:pPr>
        <w:pStyle w:val="ab"/>
        <w:numPr>
          <w:numId w:val="8"/>
        </w:numPr>
      </w:pPr>
      <w:r>
        <w:t>25:51 KHT商业化进展与Rosie一线联用数据分享</w:t>
      </w:r>
    </w:p>
    <w:p>
      <w:r>
        <w:rPr>
          <w:rFonts w:ascii="等线(中文正文)" w:hAnsi="等线(中文正文)" w:cs="等线(中文正文)" w:eastAsia="等线(中文正文)"/>
          <w:b w:val="false"/>
          <w:i w:val="false"/>
          <w:sz w:val="20"/>
        </w:rPr>
        <w:t>讨论了KHT在中国的商业化上市进展，包括医生和患者的积极反馈，以及对明年增长收入的评估。同时，分享了Rosie在E斯蒙大会中一线联用数据的预期，强调了提升疗效和减轻化疗负担的潜力，期待与现有标准治疗方案的竞争表现。</w:t>
      </w:r>
    </w:p>
    <w:p>
      <w:r>
        <w:rPr>
          <w:rFonts w:ascii="等线(中文正文)" w:hAnsi="等线(中文正文)" w:cs="等线(中文正文)" w:eastAsia="等线(中文正文)"/>
          <w:b w:val="false"/>
          <w:i w:val="false"/>
          <w:sz w:val="20"/>
        </w:rPr>
        <w:t/>
      </w:r>
    </w:p>
    <w:p>
      <w:pPr>
        <w:pStyle w:val="ab"/>
        <w:numPr>
          <w:numId w:val="9"/>
        </w:numPr>
      </w:pPr>
      <w:r>
        <w:t>30:27 药物研发进展与监管沟通情况</w:t>
      </w:r>
    </w:p>
    <w:p>
      <w:r>
        <w:rPr>
          <w:rFonts w:ascii="等线(中文正文)" w:hAnsi="等线(中文正文)" w:cs="等线(中文正文)" w:eastAsia="等线(中文正文)"/>
          <w:b w:val="false"/>
          <w:i w:val="false"/>
          <w:sz w:val="20"/>
        </w:rPr>
        <w:t>对话围绕药物研发的关键议题展开，包括广泛期小细胞肺癌的一线治疗和神经内分泌瘤的注册研究。研发团队与监管机构保持紧密沟通，确保所有IND、临床策略和研究设计均得到充分讨论与批准，保证项目按计划推进。团队承诺在今年年底之前启动广泛期小细胞肺癌的一线三期临床，并推动神经内分泌瘤的药物进入注册阶段，同时已获得孤儿药认定，体现了FDA对药物疗效的认可。</w:t>
      </w:r>
    </w:p>
    <w:p>
      <w:r>
        <w:rPr>
          <w:rFonts w:ascii="等线(中文正文)" w:hAnsi="等线(中文正文)" w:cs="等线(中文正文)" w:eastAsia="等线(中文正文)"/>
          <w:b w:val="false"/>
          <w:i w:val="false"/>
          <w:sz w:val="20"/>
        </w:rPr>
        <w:t/>
      </w:r>
    </w:p>
    <w:p>
      <w:pPr>
        <w:pStyle w:val="ab"/>
        <w:numPr>
          <w:numId w:val="10"/>
        </w:numPr>
      </w:pPr>
      <w:r>
        <w:t>32:40 小细胞肺癌药物竞争格局与1503项目进展</w:t>
      </w:r>
    </w:p>
    <w:p>
      <w:r>
        <w:rPr>
          <w:rFonts w:ascii="等线(中文正文)" w:hAnsi="等线(中文正文)" w:cs="等线(中文正文)" w:eastAsia="等线(中文正文)"/>
          <w:b w:val="false"/>
          <w:i w:val="false"/>
          <w:sz w:val="20"/>
        </w:rPr>
        <w:t>对话讨论了小细胞肺癌治疗领域内药物的竞争格局变化，强调了某药物在安全性与疗效上的差异化优势及其作为联合用药基石的潜力。同时，对话还提到了1503项目的首次人体试验数据预期标准及长效化给药间隔的展望。</w:t>
      </w:r>
    </w:p>
    <w:p>
      <w:r>
        <w:rPr>
          <w:rFonts w:ascii="等线(中文正文)" w:hAnsi="等线(中文正文)" w:cs="等线(中文正文)" w:eastAsia="等线(中文正文)"/>
          <w:b w:val="false"/>
          <w:i w:val="false"/>
          <w:sz w:val="20"/>
        </w:rPr>
        <w:t/>
      </w:r>
    </w:p>
    <w:p>
      <w:pPr>
        <w:pStyle w:val="ab"/>
        <w:numPr>
          <w:numId w:val="11"/>
        </w:numPr>
      </w:pPr>
      <w:r>
        <w:t>36:20 1503项目：健康志愿者研究数据与特异性皮炎治疗潜力</w:t>
      </w:r>
    </w:p>
    <w:p>
      <w:r>
        <w:rPr>
          <w:rFonts w:ascii="等线(中文正文)" w:hAnsi="等线(中文正文)" w:cs="等线(中文正文)" w:eastAsia="等线(中文正文)"/>
          <w:b w:val="false"/>
          <w:i w:val="false"/>
          <w:sz w:val="20"/>
        </w:rPr>
        <w:t>1503项目作为全球进展迅速的免疫管理产品，展示了在非特异性皮炎治疗领域的巨大潜力。通过在健康志愿者和特异性皮炎患者中的研究，1503的药代动力学（PK）、药效动力学（PD）数据以及早期疗效数据将被详细分析。特别指出，1503采用YTE长效设计，有望实现比现有标准治疗更低的给药频次，其在健康志愿者中的PKPD数据可有效预测在患者中的表现，为后续临床研究提供坚实基础。</w:t>
      </w:r>
    </w:p>
    <w:p>
      <w:r>
        <w:rPr>
          <w:rFonts w:ascii="等线(中文正文)" w:hAnsi="等线(中文正文)" w:cs="等线(中文正文)" w:eastAsia="等线(中文正文)"/>
          <w:b w:val="false"/>
          <w:i w:val="false"/>
          <w:sz w:val="20"/>
        </w:rPr>
        <w:t/>
      </w:r>
    </w:p>
    <w:p>
      <w:pPr>
        <w:pStyle w:val="ab"/>
        <w:numPr>
          <w:numId w:val="12"/>
        </w:numPr>
      </w:pPr>
      <w:r>
        <w:t>39:54 1503在特异性皮炎治疗中的差异化优势</w:t>
      </w:r>
    </w:p>
    <w:p>
      <w:r>
        <w:rPr>
          <w:rFonts w:ascii="等线(中文正文)" w:hAnsi="等线(中文正文)" w:cs="等线(中文正文)" w:eastAsia="等线(中文正文)"/>
          <w:b w:val="false"/>
          <w:i w:val="false"/>
          <w:sz w:val="20"/>
        </w:rPr>
        <w:t>讨论了1503在特异性皮炎治疗领域的差异化优势，包括抑制TH2通路、快速缓解瘙痒和长效设计三个关键特性。相较于现有上市药物，1503能同时覆盖IO1和IO13通路，展现出更大的市场竞争潜力。</w:t>
      </w:r>
    </w:p>
    <w:p>
      <w:r>
        <w:rPr>
          <w:rFonts w:ascii="等线(中文正文)" w:hAnsi="等线(中文正文)" w:cs="等线(中文正文)" w:eastAsia="等线(中文正文)"/>
          <w:b w:val="false"/>
          <w:i w:val="false"/>
          <w:sz w:val="20"/>
        </w:rPr>
        <w:t/>
      </w:r>
    </w:p>
    <w:p>
      <w:pPr>
        <w:pStyle w:val="ab"/>
        <w:numPr>
          <w:numId w:val="13"/>
        </w:numPr>
      </w:pPr>
      <w:r>
        <w:t>42:51 公司策略与全球开发计划讨论</w:t>
      </w:r>
    </w:p>
    <w:p>
      <w:r>
        <w:rPr>
          <w:rFonts w:ascii="等线(中文正文)" w:hAnsi="等线(中文正文)" w:cs="等线(中文正文)" w:eastAsia="等线(中文正文)"/>
          <w:b w:val="false"/>
          <w:i w:val="false"/>
          <w:sz w:val="20"/>
        </w:rPr>
        <w:t>对话围绕公司未来计划展开，讨论了在二期启动前是否会有合作伙伴或BD交易公布，强调了公司有能力独立推进全球项目，但不排斥强强联合。管理层表示，决策将基于对股东利益最大化的判断，而非短期回报，同时表达了对1503产品全球开发的信心。最后，会议总结了公司当前状态，并鼓励持续关注公司的全球管线进展。</w:t>
      </w:r>
    </w:p>
    <w:p>
      <w:r>
        <w:rPr>
          <w:rFonts w:ascii="等线(中文正文)" w:hAnsi="等线(中文正文)" w:cs="等线(中文正文)" w:eastAsia="等线(中文正文)"/>
          <w:b w:val="false"/>
          <w:i w:val="false"/>
          <w:sz w:val="20"/>
        </w:rPr>
        <w:t/>
      </w:r>
    </w:p>
    <w:p>
      <w:pPr>
        <w:pStyle w:val="a7"/>
      </w:pPr>
      <w:r>
        <w:t>发言总结</w:t>
      </w:r>
    </w:p>
    <w:p>
      <w:pPr>
        <w:pStyle w:val="ab"/>
        <w:numPr>
          <w:numId w:val="14"/>
        </w:numPr>
      </w:pPr>
      <w:r>
        <w:t>发言人1</w:t>
      </w:r>
    </w:p>
    <w:p>
      <w:r>
        <w:rPr>
          <w:rFonts w:ascii="等线(中文正文)" w:hAnsi="等线(中文正文)" w:cs="等线(中文正文)" w:eastAsia="等线(中文正文)"/>
          <w:b w:val="false"/>
          <w:i w:val="false"/>
          <w:sz w:val="20"/>
        </w:rPr>
        <w:t>主持的中金公司闭门电话会议，仅限受邀嘉宾参与，主要讨论了中金公司第二季度的业绩、交流内容的参考性质及与会者对信息的责任。强调了会议内容仅供内部参考，不构成投资建议，嘉宾观点不代表公司立场，并提醒不得外泄会议信息。会议还深入探讨了再鼎医药的商业化成就、全球创新药研发趋势及公司未来发展战略与管线进展，凸显了公司在生物制药领域的战略定位与目标。他重申了公司致力于股东利益最大化的承诺，并鼓励与会者持续关注公司发展动态。</w:t>
      </w:r>
    </w:p>
    <w:p>
      <w:r>
        <w:rPr>
          <w:rFonts w:ascii="等线(中文正文)" w:hAnsi="等线(中文正文)" w:cs="等线(中文正文)" w:eastAsia="等线(中文正文)"/>
          <w:b w:val="false"/>
          <w:i w:val="false"/>
          <w:sz w:val="20"/>
        </w:rPr>
        <w:t/>
      </w:r>
    </w:p>
    <w:p>
      <w:pPr>
        <w:pStyle w:val="a7"/>
      </w:pPr>
      <w:r>
        <w:t>要点回顾</w:t>
      </w:r>
    </w:p>
    <w:p>
      <w:pPr>
        <w:pStyle w:val="ab"/>
      </w:pPr>
      <w:r>
        <w:t>在本次电话会议中，中金公司对信息及观点的完整性、准确性有何保障措施？</w:t>
      </w:r>
    </w:p>
    <w:p>
      <w:r>
        <w:rPr>
          <w:rFonts w:ascii="等线(中文正文)" w:hAnsi="等线(中文正文)" w:cs="等线(中文正文)" w:eastAsia="等线(中文正文)"/>
          <w:b w:val="false"/>
          <w:i w:val="false"/>
          <w:sz w:val="20"/>
        </w:rPr>
        <w:t>发言人1：中金公司对其信息及观点的完整性、准确性不作任何形式的确认或保证。</w:t>
      </w:r>
    </w:p>
    <w:p>
      <w:r>
        <w:rPr>
          <w:rFonts w:ascii="等线(中文正文)" w:hAnsi="等线(中文正文)" w:cs="等线(中文正文)" w:eastAsia="等线(中文正文)"/>
          <w:b w:val="false"/>
          <w:i w:val="false"/>
          <w:sz w:val="20"/>
        </w:rPr>
        <w:t/>
      </w:r>
    </w:p>
    <w:p>
      <w:pPr>
        <w:pStyle w:val="ab"/>
      </w:pPr>
      <w:r>
        <w:t>未经中金公司和演讲嘉宾书面许可，机构和个人能否对外公布或使用会议内容？</w:t>
      </w:r>
    </w:p>
    <w:p>
      <w:r>
        <w:rPr>
          <w:rFonts w:ascii="等线(中文正文)" w:hAnsi="等线(中文正文)" w:cs="等线(中文正文)" w:eastAsia="等线(中文正文)"/>
          <w:b w:val="false"/>
          <w:i w:val="false"/>
          <w:sz w:val="20"/>
        </w:rPr>
        <w:t>发言人1：未经中金公司和演讲嘉宾书面许可，任何机构和个人不得以任何形式将会议内容和相关信息对外公布、转发、复制、编辑、修改等。</w:t>
      </w:r>
    </w:p>
    <w:p>
      <w:r>
        <w:rPr>
          <w:rFonts w:ascii="等线(中文正文)" w:hAnsi="等线(中文正文)" w:cs="等线(中文正文)" w:eastAsia="等线(中文正文)"/>
          <w:b w:val="false"/>
          <w:i w:val="false"/>
          <w:sz w:val="20"/>
        </w:rPr>
        <w:t/>
      </w:r>
    </w:p>
    <w:p>
      <w:pPr>
        <w:pStyle w:val="ab"/>
      </w:pPr>
      <w:r>
        <w:t>再鼎医药2026年第二季度业绩电话会的主要内容是什么？</w:t>
      </w:r>
    </w:p>
    <w:p>
      <w:r>
        <w:rPr>
          <w:rFonts w:ascii="等线(中文正文)" w:hAnsi="等线(中文正文)" w:cs="等线(中文正文)" w:eastAsia="等线(中文正文)"/>
          <w:b w:val="false"/>
          <w:i w:val="false"/>
          <w:sz w:val="20"/>
        </w:rPr>
        <w:t>发言人1：电话会主要讨论了再鼎医药2026年第二季度及上半年的财报业绩，强调了商业化业绩的持续盈利和产品净收入环比增长11%。同时，会议也提及了公司在全球创新药研发管线上的进展，包括DF three项目的快速推进以及多项临床研究计划。此外，还介绍了公司管理团队并展望了未来的发展。</w:t>
      </w:r>
    </w:p>
    <w:p>
      <w:r>
        <w:rPr>
          <w:rFonts w:ascii="等线(中文正文)" w:hAnsi="等线(中文正文)" w:cs="等线(中文正文)" w:eastAsia="等线(中文正文)"/>
          <w:b w:val="false"/>
          <w:i w:val="false"/>
          <w:sz w:val="20"/>
        </w:rPr>
        <w:t/>
      </w:r>
    </w:p>
    <w:p>
      <w:pPr>
        <w:pStyle w:val="ab"/>
      </w:pPr>
      <w:r>
        <w:t>再鼎医药在肿瘤领域的全球注册性临床研究情况如何？</w:t>
      </w:r>
    </w:p>
    <w:p>
      <w:r>
        <w:rPr>
          <w:rFonts w:ascii="等线(中文正文)" w:hAnsi="等线(中文正文)" w:cs="等线(中文正文)" w:eastAsia="等线(中文正文)"/>
          <w:b w:val="false"/>
          <w:i w:val="false"/>
          <w:sz w:val="20"/>
        </w:rPr>
        <w:t>发言人1：再鼎医药在肿瘤领域正在进行全球多中心注册性临床研究，并在肿瘤与免疫领域持续推进更多临床项目，预计今年年底将有三项注册性研究在小细胞肺癌和神经内分泌瘤领域同步推进。</w:t>
      </w:r>
    </w:p>
    <w:p>
      <w:r>
        <w:rPr>
          <w:rFonts w:ascii="等线(中文正文)" w:hAnsi="等线(中文正文)" w:cs="等线(中文正文)" w:eastAsia="等线(中文正文)"/>
          <w:b w:val="false"/>
          <w:i w:val="false"/>
          <w:sz w:val="20"/>
        </w:rPr>
        <w:t/>
      </w:r>
    </w:p>
    <w:p>
      <w:pPr>
        <w:pStyle w:val="ab"/>
      </w:pPr>
      <w:r>
        <w:t>G1 fifteen three在全球管线中的地位及其特点是什么？</w:t>
      </w:r>
    </w:p>
    <w:p>
      <w:r>
        <w:rPr>
          <w:rFonts w:ascii="等线(中文正文)" w:hAnsi="等线(中文正文)" w:cs="等线(中文正文)" w:eastAsia="等线(中文正文)"/>
          <w:b w:val="false"/>
          <w:i w:val="false"/>
          <w:sz w:val="20"/>
        </w:rPr>
        <w:t>发言人1：G1 fifteen three是再鼎医药的第二个重要全球购管线，是一款潜在first in class长效的out thirteen thousand one双抗，用于特异性皮炎。这款产品具有强效皮损清除、快速持久滋养和更长给药周期的优势，并将在近期公布首个人体数据。</w:t>
      </w:r>
    </w:p>
    <w:p>
      <w:r>
        <w:rPr>
          <w:rFonts w:ascii="等线(中文正文)" w:hAnsi="等线(中文正文)" w:cs="等线(中文正文)" w:eastAsia="等线(中文正文)"/>
          <w:b w:val="false"/>
          <w:i w:val="false"/>
          <w:sz w:val="20"/>
        </w:rPr>
        <w:t/>
      </w:r>
    </w:p>
    <w:p>
      <w:pPr>
        <w:pStyle w:val="ab"/>
      </w:pPr>
      <w:r>
        <w:t>公司商业化业务的现状及未来展望是怎样的？</w:t>
      </w:r>
    </w:p>
    <w:p>
      <w:r>
        <w:rPr>
          <w:rFonts w:ascii="等线(中文正文)" w:hAnsi="等线(中文正文)" w:cs="等线(中文正文)" w:eastAsia="等线(中文正文)"/>
          <w:b w:val="false"/>
          <w:i w:val="false"/>
          <w:sz w:val="20"/>
        </w:rPr>
        <w:t>发言人1：再鼎医药正在强化商业化业务，本季度产品净收入净额较上一季度增长了11.1%，并继续保持商业化盈利。公司预计2027年实现显著同比增长，2028年有望首个在美国实现产品上市。随着商业化全球管线不断扩大且保持盈利，公司正逐步发展为一家全球性生物制药公司，对未来的发展和为股东及患者创造的长期价值充满信心。</w:t>
      </w:r>
    </w:p>
    <w:p>
      <w:r>
        <w:rPr>
          <w:rFonts w:ascii="等线(中文正文)" w:hAnsi="等线(中文正文)" w:cs="等线(中文正文)" w:eastAsia="等线(中文正文)"/>
          <w:b w:val="false"/>
          <w:i w:val="false"/>
          <w:sz w:val="20"/>
        </w:rPr>
        <w:t/>
      </w:r>
    </w:p>
    <w:p>
      <w:pPr>
        <w:pStyle w:val="ab"/>
      </w:pPr>
      <w:r>
        <w:t>对于肺外神经内分泌癌适应症，公司的最新进展和计划是什么？</w:t>
      </w:r>
    </w:p>
    <w:p>
      <w:r>
        <w:rPr>
          <w:rFonts w:ascii="等线(中文正文)" w:hAnsi="等线(中文正文)" w:cs="等线(中文正文)" w:eastAsia="等线(中文正文)"/>
          <w:b w:val="false"/>
          <w:i w:val="false"/>
          <w:sz w:val="20"/>
        </w:rPr>
        <w:t>发言人1：在二线及后续治疗方面，该适应症确实没有标准治疗方案，但数据显示我们的产品展现出38.2%的经确认客观缓解率，显著高于现有治疗方案约18%的ORR水平。我们正在与监管机构沟通，计划利用正在进行的二线研究的扩展单臂数据寻求潜在的获批路径，并且也在布局后续一线治疗的获批路径。到年底，我们将有三项注册性研究同步推进。</w:t>
      </w:r>
    </w:p>
    <w:p>
      <w:r>
        <w:rPr>
          <w:rFonts w:ascii="等线(中文正文)" w:hAnsi="等线(中文正文)" w:cs="等线(中文正文)" w:eastAsia="等线(中文正文)"/>
          <w:b w:val="false"/>
          <w:i w:val="false"/>
          <w:sz w:val="20"/>
        </w:rPr>
        <w:t/>
      </w:r>
    </w:p>
    <w:p>
      <w:pPr>
        <w:pStyle w:val="ab"/>
      </w:pPr>
      <w:r>
        <w:t>公司在神经内分泌癌领域的合作情况如何？</w:t>
      </w:r>
    </w:p>
    <w:p>
      <w:r>
        <w:rPr>
          <w:rFonts w:ascii="等线(中文正文)" w:hAnsi="等线(中文正文)" w:cs="等线(中文正文)" w:eastAsia="等线(中文正文)"/>
          <w:b w:val="false"/>
          <w:i w:val="false"/>
          <w:sz w:val="20"/>
        </w:rPr>
        <w:t>发言人1：我们正在与安静和勃林格英格翰BI进行合作探索。其中，邹曦以CDCD11 three TCE的研究已开始入组，尤其是针对未经治疗的小细胞肺癌患者，采用邹西exult和infinity PDL one的三联方案作为一线治疗。此外，与BI合作开展的全球1B2期神经内分泌癌研究预计在未来几个月内也将开始入组患者。</w:t>
      </w:r>
    </w:p>
    <w:p>
      <w:r>
        <w:rPr>
          <w:rFonts w:ascii="等线(中文正文)" w:hAnsi="等线(中文正文)" w:cs="等线(中文正文)" w:eastAsia="等线(中文正文)"/>
          <w:b w:val="false"/>
          <w:i w:val="false"/>
          <w:sz w:val="20"/>
        </w:rPr>
        <w:t/>
      </w:r>
    </w:p>
    <w:p>
      <w:pPr>
        <w:pStyle w:val="ab"/>
      </w:pPr>
      <w:r>
        <w:t>G11503这款药物的研发进展及特性是什么？</w:t>
      </w:r>
    </w:p>
    <w:p>
      <w:r>
        <w:rPr>
          <w:rFonts w:ascii="等线(中文正文)" w:hAnsi="等线(中文正文)" w:cs="等线(中文正文)" w:eastAsia="等线(中文正文)"/>
          <w:b w:val="false"/>
          <w:i w:val="false"/>
          <w:sz w:val="20"/>
        </w:rPr>
        <w:t>发言人1：G11503是一款长效人源化igg one 3双特异性抗体，同时靶向L13和IL-31R alpha。它通过FC区的YTE氨基酸突变延长血清半衰期，支持更低频次给药，旨在打破瘙痒挠抓炎症循环，为中重度特异性皮炎患者提供快速起效、疗效持久且给药频率更低的差异化治疗选择。目前，G11503已进入临床阶段，健康志愿者的首次人体数据预计在今年下半年公布，包括单次给药后的PK数据、药效学数据以及初步的安全性和免疫原性数据。</w:t>
      </w:r>
    </w:p>
    <w:p>
      <w:r>
        <w:rPr>
          <w:rFonts w:ascii="等线(中文正文)" w:hAnsi="等线(中文正文)" w:cs="等线(中文正文)" w:eastAsia="等线(中文正文)"/>
          <w:b w:val="false"/>
          <w:i w:val="false"/>
          <w:sz w:val="20"/>
        </w:rPr>
        <w:t/>
      </w:r>
    </w:p>
    <w:p>
      <w:pPr>
        <w:pStyle w:val="ab"/>
      </w:pPr>
      <w:r>
        <w:t>Z11503的研发进展如何，以及未来的管线布局情况？</w:t>
      </w:r>
    </w:p>
    <w:p>
      <w:r>
        <w:rPr>
          <w:rFonts w:ascii="等线(中文正文)" w:hAnsi="等线(中文正文)" w:cs="等线(中文正文)" w:eastAsia="等线(中文正文)"/>
          <w:b w:val="false"/>
          <w:i w:val="false"/>
          <w:sz w:val="20"/>
        </w:rPr>
        <w:t>发言人1：Z11503目前处于临床阶段，首次人体研究数据预计明年上半年公布，涵盖多次剂量递增部分的病人数据。此外，除了治疗特异性皮炎之外，Z11503还有潜力拓展到其他由IL-13和IL-31介导的疾病，长期来看将带来更广泛的适应症开发机会。同时，内部发现的LRRC fifteen ADC项目G16201也正在积极准备全球一期研究，预计年底前完成计量爬坡部分的入组，初步数据有望在2027年上半年公布。</w:t>
      </w:r>
    </w:p>
    <w:p>
      <w:r>
        <w:rPr>
          <w:rFonts w:ascii="等线(中文正文)" w:hAnsi="等线(中文正文)" w:cs="等线(中文正文)" w:eastAsia="等线(中文正文)"/>
          <w:b w:val="false"/>
          <w:i w:val="false"/>
          <w:sz w:val="20"/>
        </w:rPr>
        <w:t/>
      </w:r>
    </w:p>
    <w:p>
      <w:pPr>
        <w:pStyle w:val="ab"/>
      </w:pPr>
      <w:r>
        <w:t>公司当前在商业化和管线推进方面的策略及近期目标是什么？</w:t>
      </w:r>
    </w:p>
    <w:p>
      <w:r>
        <w:rPr>
          <w:rFonts w:ascii="等线(中文正文)" w:hAnsi="等线(中文正文)" w:cs="等线(中文正文)" w:eastAsia="等线(中文正文)"/>
          <w:b w:val="false"/>
          <w:i w:val="false"/>
          <w:sz w:val="20"/>
        </w:rPr>
        <w:t>发言人1：今年年底前，公司将提交C11311（CD3-IL-17）的IND申请，这款针对smart时期的新型TCE mark 17具有很好的前景，是消化道肿瘤中的一个潜在重要靶点。公司具备高效的全球临床开发能力，能够同步推进多个不同阶段的全球项目。预计在未来几个季度内，领先的项目将带来重要的数据读出里程碑，并将持续与投资者分享最新进展。</w:t>
      </w:r>
    </w:p>
    <w:p>
      <w:r>
        <w:rPr>
          <w:rFonts w:ascii="等线(中文正文)" w:hAnsi="等线(中文正文)" w:cs="等线(中文正文)" w:eastAsia="等线(中文正文)"/>
          <w:b w:val="false"/>
          <w:i w:val="false"/>
          <w:sz w:val="20"/>
        </w:rPr>
        <w:t/>
      </w:r>
    </w:p>
    <w:p>
      <w:pPr>
        <w:pStyle w:val="ab"/>
      </w:pPr>
      <w:r>
        <w:t>关于舟舟和ZL1503全球商业化合作的新想法及公司长期价值的看法？</w:t>
      </w:r>
    </w:p>
    <w:p>
      <w:r>
        <w:rPr>
          <w:rFonts w:ascii="等线(中文正文)" w:hAnsi="等线(中文正文)" w:cs="等线(中文正文)" w:eastAsia="等线(中文正文)"/>
          <w:b w:val="false"/>
          <w:i w:val="false"/>
          <w:sz w:val="20"/>
        </w:rPr>
        <w:t>发言人1：对于舟舟和ZL1503这两个产品，我非常看好它们的全球商业化潜力。我们拥有经验丰富的团队，有能力将这些产品推进至全球化，并不仅限于临床研发，也包括商业化。我们已经取得许多成功案例，证明好的产品在有良好医保环境和支付体系的情况下，推进商业化并非难事。因此，对于股东利益的体现，我们计划明年申报注册，并在接下来两年内建立商业化团队，有信心将产品推到最大程度。同时，我们也会审慎考虑合作机会，以最大化股东利益，但不会盲目拒绝可能带来回报的选择。</w:t>
      </w:r>
    </w:p>
    <w:p>
      <w:r>
        <w:rPr>
          <w:rFonts w:ascii="等线(中文正文)" w:hAnsi="等线(中文正文)" w:cs="等线(中文正文)" w:eastAsia="等线(中文正文)"/>
          <w:b w:val="false"/>
          <w:i w:val="false"/>
          <w:sz w:val="20"/>
        </w:rPr>
        <w:t/>
      </w:r>
    </w:p>
    <w:p>
      <w:pPr>
        <w:pStyle w:val="ab"/>
      </w:pPr>
      <w:r>
        <w:t>根据财报，公司的市值增长点被市场严重低估，能否谈谈具体原因以及公司未来如何引导投资者更好地理解其全球管线的价值？</w:t>
      </w:r>
    </w:p>
    <w:p>
      <w:r>
        <w:rPr>
          <w:rFonts w:ascii="等线(中文正文)" w:hAnsi="等线(中文正文)" w:cs="等线(中文正文)" w:eastAsia="等线(中文正文)"/>
          <w:b w:val="false"/>
          <w:i w:val="false"/>
          <w:sz w:val="20"/>
        </w:rPr>
        <w:t>发言人1：市场对公司的高关注度主要体现在公司成功将全球最好的产品引入中国，并且我们并没有止步于此。公司一直在努力让中国患者及早接触到全球领先的药物疗法，过程中虽然历经曲折，但所有问题都与公司自身有关。此外，公司在研发方面也投入了大量精力，拥有全球性的产品管线，尤其是当前有两个产品在临床试验阶段，这些已足以支撑公司达到一定的市值估值阶段。</w:t>
      </w:r>
    </w:p>
    <w:p>
      <w:r>
        <w:rPr>
          <w:rFonts w:ascii="等线(中文正文)" w:hAnsi="等线(中文正文)" w:cs="等线(中文正文)" w:eastAsia="等线(中文正文)"/>
          <w:b w:val="false"/>
          <w:i w:val="false"/>
          <w:sz w:val="20"/>
        </w:rPr>
        <w:t/>
      </w:r>
    </w:p>
    <w:p>
      <w:pPr>
        <w:pStyle w:val="ab"/>
      </w:pPr>
      <w:r>
        <w:t>关于KHT在国内商业化上市的进展，能否分享一下目前医生和患者的反馈情况，以及明年KHT增长收入的预计贡献？</w:t>
      </w:r>
    </w:p>
    <w:p>
      <w:r>
        <w:rPr>
          <w:rFonts w:ascii="等线(中文正文)" w:hAnsi="等线(中文正文)" w:cs="等线(中文正文)" w:eastAsia="等线(中文正文)"/>
          <w:b w:val="false"/>
          <w:i w:val="false"/>
          <w:sz w:val="20"/>
        </w:rPr>
        <w:t>发言人1：KHT于今年6月在中国正式商业化上市，目前重点是在医保广泛覆盖之前建立医生对该产品的使用信心和经验。从上市至今的一个多月时间里，已有多达500位医生开处方使用该产品，且早期反馈正面，患者的阳性与阴性症状都有改善，耐受性良好。公司正在与医生密切合作，主动管理肠胃道不良反应，借鉴美国上市经验。总的来看，当前阶段医生的积极反馈和初步临床使用经验都验证了KHT产品潜在的市场竞争力。</w:t>
      </w:r>
    </w:p>
    <w:p>
      <w:r>
        <w:rPr>
          <w:rFonts w:ascii="等线(中文正文)" w:hAnsi="等线(中文正文)" w:cs="等线(中文正文)" w:eastAsia="等线(中文正文)"/>
          <w:b w:val="false"/>
          <w:i w:val="false"/>
          <w:sz w:val="20"/>
        </w:rPr>
        <w:t/>
      </w:r>
    </w:p>
    <w:p>
      <w:pPr>
        <w:pStyle w:val="ab"/>
      </w:pPr>
      <w:r>
        <w:t>关于周琦涉及的神经内分泌瘤进展如何？何时会启动注册研究？</w:t>
      </w:r>
    </w:p>
    <w:p>
      <w:r>
        <w:rPr>
          <w:rFonts w:ascii="等线(中文正文)" w:hAnsi="等线(中文正文)" w:cs="等线(中文正文)" w:eastAsia="等线(中文正文)"/>
          <w:b w:val="false"/>
          <w:i w:val="false"/>
          <w:sz w:val="20"/>
        </w:rPr>
        <w:t>发言人1：我们已经拿到了孤儿药 designation，并且与FDA进行了沟通。我们非常有信心在今年年底前将该项目推进到注册阶段。</w:t>
      </w:r>
    </w:p>
    <w:p>
      <w:r>
        <w:rPr>
          <w:rFonts w:ascii="等线(中文正文)" w:hAnsi="等线(中文正文)" w:cs="等线(中文正文)" w:eastAsia="等线(中文正文)"/>
          <w:b w:val="false"/>
          <w:i w:val="false"/>
          <w:sz w:val="20"/>
        </w:rPr>
        <w:t/>
      </w:r>
    </w:p>
    <w:p>
      <w:pPr>
        <w:pStyle w:val="ab"/>
      </w:pPr>
      <w:r>
        <w:t>现在如何看待消费全竞争格局的变化，特别是考虑到IDSD10月份获批、拉的维持治疗数据以及艾博维他006启动联用一线治疗方案的情况？</w:t>
      </w:r>
    </w:p>
    <w:p>
      <w:r>
        <w:rPr>
          <w:rFonts w:ascii="等线(中文正文)" w:hAnsi="等线(中文正文)" w:cs="等线(中文正文)" w:eastAsia="等线(中文正文)"/>
          <w:b w:val="false"/>
          <w:i w:val="false"/>
          <w:sz w:val="20"/>
        </w:rPr>
        <w:t>发言人1：作为小细胞肺癌领域的先行者，我们持续关注该领域的竞争格局。尽管行业持续投入，但我们对周熙的竞争力愈发有信心。我们强调与其他B-ALL免疫检查点抑制剂的安全性差异化表现，并且在疗效（ORR）和DOR数据上具有竞争力。此外，良好的安全性使邹曦能成为与其他药物如PDL one和color的CDCDLL three联合治疗的基石。我们不仅关注全球竞争格局，内部团队也在快速推进临床开发，确保在小细胞肺癌领域的全球竞争地位保持领先。同时，已有两家公司选择与我们联合用药，这也证明了我们药物的价值。</w:t>
      </w:r>
    </w:p>
    <w:p>
      <w:r>
        <w:rPr>
          <w:rFonts w:ascii="等线(中文正文)" w:hAnsi="等线(中文正文)" w:cs="等线(中文正文)" w:eastAsia="等线(中文正文)"/>
          <w:b w:val="false"/>
          <w:i w:val="false"/>
          <w:sz w:val="20"/>
        </w:rPr>
        <w:t/>
      </w:r>
    </w:p>
    <w:p>
      <w:pPr>
        <w:pStyle w:val="ab"/>
      </w:pPr>
      <w:r>
        <w:t>对于1503的EB区first in human数据，公司有何预期？什么样的数据可以被视为好的数据？另外，目前对于长效化的预期是怎样的？</w:t>
      </w:r>
    </w:p>
    <w:p>
      <w:r>
        <w:rPr>
          <w:rFonts w:ascii="等线(中文正文)" w:hAnsi="等线(中文正文)" w:cs="等线(中文正文)" w:eastAsia="等线(中文正文)"/>
          <w:b w:val="false"/>
          <w:i w:val="false"/>
          <w:sz w:val="20"/>
        </w:rPr>
        <w:t>发言人1：1503是一个极具潜力的重要产品，在免疫疗法中进展迅速，尤其希望市场能更多了解这一产品。在非特异性皮炎AD市场中，1503在收购成本高达100亿美元的apple g产品设计上更具差异化。1503的1到1B期研究分为两部分：一部分在健康志愿者中开展单次剂量递增研究，以了解其PK和PD；另一部分在特异性皮炎患者中开展多次给药剂量递增研究，获取疗效数据。今年下半年将公布健康志愿者的数据，这些数据对于推导病人中的表现非常关键，尤其是药物在人体内的半衰期。1503由YTE长效设计改造，我们有信心实现比标准治疗更低的给药频次。</w:t>
      </w:r>
    </w:p>
    <w:p>
      <w:r>
        <w:rPr>
          <w:rFonts w:ascii="等线(中文正文)" w:hAnsi="等线(中文正文)" w:cs="等线(中文正文)" w:eastAsia="等线(中文正文)"/>
          <w:b w:val="false"/>
          <w:i w:val="false"/>
          <w:sz w:val="20"/>
        </w:rPr>
        <w:t/>
      </w:r>
    </w:p>
    <w:p>
      <w:pPr>
        <w:pStyle w:val="ab"/>
      </w:pPr>
      <w:r>
        <w:t>除了长效之外，1503希望通过哪些差异化策略去填补未被满足的医疗需求？</w:t>
      </w:r>
    </w:p>
    <w:p>
      <w:r>
        <w:rPr>
          <w:rFonts w:ascii="等线(中文正文)" w:hAnsi="等线(中文正文)" w:cs="等线(中文正文)" w:eastAsia="等线(中文正文)"/>
          <w:b w:val="false"/>
          <w:i w:val="false"/>
          <w:sz w:val="20"/>
        </w:rPr>
        <w:t>发言人1：虽然AD领域竞争激烈，但我们持续跟踪并看到新的治疗机制药物在研。除了长效设计这一差异化优势外，1503希望通过在特异性皮炎治疗上展现出的独特疗效和安全性特征，填补当前疗法尚未满足的需求。</w:t>
      </w:r>
    </w:p>
    <w:p>
      <w:r>
        <w:rPr>
          <w:rFonts w:ascii="等线(中文正文)" w:hAnsi="等线(中文正文)" w:cs="等线(中文正文)" w:eastAsia="等线(中文正文)"/>
          <w:b w:val="false"/>
          <w:i w:val="false"/>
          <w:sz w:val="20"/>
        </w:rPr>
        <w:t/>
      </w:r>
    </w:p>
    <w:p>
      <w:pPr>
        <w:pStyle w:val="ab"/>
      </w:pPr>
      <w:r>
        <w:t>在看完computer landscape后，为什么对1503产品有信心？</w:t>
      </w:r>
    </w:p>
    <w:p>
      <w:r>
        <w:rPr>
          <w:rFonts w:ascii="等线(中文正文)" w:hAnsi="等线(中文正文)" w:cs="等线(中文正文)" w:eastAsia="等线(中文正文)"/>
          <w:b w:val="false"/>
          <w:i w:val="false"/>
          <w:sz w:val="20"/>
        </w:rPr>
        <w:t>发言人1：因为1503在开发阶段能同时实现三个重要的特性，即抑制TH two passway、快速明显地缓解瘙痒以及具有长效设计（针对2 13 receptor）。这三个特性在同等开发阶段的分子中并不多见，并且1503在AD市场的竞争潜力大。此外，现有已上市的mo map仅target IO31，在IO13路径上无作用，导致其SC school表现有限，而1503能同时针对多个关键点。</w:t>
      </w:r>
    </w:p>
    <w:p>
      <w:r>
        <w:rPr>
          <w:rFonts w:ascii="等线(中文正文)" w:hAnsi="等线(中文正文)" w:cs="等线(中文正文)" w:eastAsia="等线(中文正文)"/>
          <w:b w:val="false"/>
          <w:i w:val="false"/>
          <w:sz w:val="20"/>
        </w:rPr>
        <w:t/>
      </w:r>
    </w:p>
    <w:p>
      <w:pPr>
        <w:pStyle w:val="ab"/>
      </w:pPr>
      <w:r>
        <w:t>在公布SADMAD数据后，接下来的计划是什么？是否会有合作伙伴或BD交易公布？</w:t>
      </w:r>
    </w:p>
    <w:p>
      <w:r>
        <w:rPr>
          <w:rFonts w:ascii="等线(中文正文)" w:hAnsi="等线(中文正文)" w:cs="等线(中文正文)" w:eastAsia="等线(中文正文)"/>
          <w:b w:val="false"/>
          <w:i w:val="false"/>
          <w:sz w:val="20"/>
        </w:rPr>
        <w:t>发言人1：公司有能力在全球任何阶段独立推进项目，但同时也欢迎强强联手的合作机会。关于是否会在启动二期之前进行BD交易公布，具体时间未定，强调公司会基于对产品价值和市场潜力的判断来决定何时进行BD操作。</w:t>
      </w:r>
    </w:p>
    <w:p>
      <w:r>
        <w:rPr>
          <w:rFonts w:ascii="等线(中文正文)" w:hAnsi="等线(中文正文)" w:cs="等线(中文正文)" w:eastAsia="等线(中文正文)"/>
          <w:b w:val="false"/>
          <w:i w:val="false"/>
          <w:sz w:val="20"/>
        </w:rPr>
        <w:t/>
      </w:r>
    </w:p>
    <w:p>
      <w:pPr>
        <w:pStyle w:val="ab"/>
      </w:pPr>
      <w:r>
        <w:t>对于中国公司而言，不做BD或license in是否意味着产品不值钱？</w:t>
      </w:r>
    </w:p>
    <w:p>
      <w:r>
        <w:rPr>
          <w:rFonts w:ascii="等线(中文正文)" w:hAnsi="等线(中文正文)" w:cs="等线(中文正文)" w:eastAsia="等线(中文正文)"/>
          <w:b w:val="false"/>
          <w:i w:val="false"/>
          <w:sz w:val="20"/>
        </w:rPr>
        <w:t>发言人1：不认同这种观点。公司有足够的资金和实力推动项目到全球任何阶段，也不排斥与国际大公司进行合作，但并非所有multinational公司接手的项目都能得到有效发展或快速推进。公司追求的是长期价值最大化和对股东有利的事情，而不只是短期的回报。</w:t>
      </w:r>
    </w:p>
    <w:p>
      <w:r>
        <w:rPr>
          <w:rFonts w:ascii="等线(中文正文)" w:hAnsi="等线(中文正文)" w:cs="等线(中文正文)" w:eastAsia="等线(中文正文)"/>
          <w:b w:val="false"/>
          <w:i w:val="false"/>
          <w:sz w:val="20"/>
        </w:rPr>
        <w:t/>
      </w:r>
    </w:p>
    <w:p>
      <w:pPr>
        <w:pStyle w:val="ab"/>
      </w:pPr>
      <w:r>
        <w:t>对于1503这款产品，公司如何看待其在全球市场上的竞争地位及BD价值？</w:t>
      </w:r>
    </w:p>
    <w:p>
      <w:r>
        <w:rPr>
          <w:rFonts w:ascii="等线(中文正文)" w:hAnsi="等线(中文正文)" w:cs="等线(中文正文)" w:eastAsia="等线(中文正文)"/>
          <w:b w:val="false"/>
          <w:i w:val="false"/>
          <w:sz w:val="20"/>
        </w:rPr>
        <w:t>发言人1：公司对1503有高度竞争差异化的产品特性充满信心，且在全球MNC关注AD领域投资的情况下，该产品将受到高度关注。尽管如此，公司目前优先考虑的是做好1503的全球开发，同时保持对股东价值最大化的追求，并认为早熟的DO（Deal Opportunity）并不意味着交易价值有限。</w:t>
      </w:r>
    </w:p>
    <w:p>
      <w:r>
        <w:rPr>
          <w:rFonts w:ascii="等线(中文正文)" w:hAnsi="等线(中文正文)" w:cs="等线(中文正文)" w:eastAsia="等线(中文正文)"/>
          <w:b w:val="false"/>
          <w:i w:val="false"/>
          <w:sz w:val="20"/>
        </w:rPr>
        <w:t/>
      </w:r>
    </w:p>
    <w:p>
      <w:pPr>
        <w:pStyle w:val="ab"/>
      </w:pPr>
      <w:r>
        <w:t>对于公司接下来的全球管线催化和商业化回暖情况怎么看？</w:t>
      </w:r>
    </w:p>
    <w:p>
      <w:r>
        <w:rPr>
          <w:rFonts w:ascii="等线(中文正文)" w:hAnsi="等线(中文正文)" w:cs="等线(中文正文)" w:eastAsia="等线(中文正文)"/>
          <w:b w:val="false"/>
          <w:i w:val="false"/>
          <w:sz w:val="20"/>
        </w:rPr>
        <w:t>发言人1：公司正处在商业化回暖期，明确处于谷底阶段，将持续关注并推进全球管线的催化作用。同时，也期待公司能够继续做好每一件事以最大化股东利益，即使面临不认可的情况也要坚持做对的事情。</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2026-08-08T05:03:25Z</dcterms:created>
  <dc:creator>Apache POI</dc:creator>
</cp:coreProperties>
</file>