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中泰证券资管 行情反复，价值投资者可以做点啥 260807_导读</w:t>
      </w:r>
    </w:p>
    <w:p>
      <w:pPr>
        <w:pStyle w:val="a0"/>
        <w:jc w:val="center"/>
      </w:pPr>
      <w:r>
        <w:t>2026年08月08日 12:42</w:t>
      </w:r>
    </w:p>
    <w:p>
      <w:pPr>
        <w:pStyle w:val="a7"/>
      </w:pPr>
      <w:r>
        <w:t>关键词</w:t>
      </w:r>
    </w:p>
    <w:p>
      <w:r>
        <w:rPr>
          <w:rFonts w:ascii="等线(中文正文)" w:hAnsi="等线(中文正文)" w:cs="等线(中文正文)" w:eastAsia="等线(中文正文)"/>
          <w:b w:val="false"/>
          <w:i w:val="false"/>
          <w:sz w:val="20"/>
        </w:rPr>
        <w:t xml:space="preserve">投资 股票 交易 组合 市场 波动 风险 白酒 电子 半导体 受迫交易 噪音 信号 信息 过滤器 研究 估值 监管 公募基金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在股市投资中，资产表现的不确定性与市场波动对投资组合构成挑战，需要投资者构建有效的决策框架来应对。市场风格的变迁及消费类股票与科技股之间的跷跷板效应，反映了不同行业表现的动态关系。面对海量信息，投资者应学会筛选有价值资讯，避免被噪音干扰。公募基金通过分散投资降低个股风险，遵守监管，强调不做被迫交易，提倡建立长期投资组合策略，以期在复杂市场环境中稳定增值。</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投资组合波动与市场风格变动分析</w:t>
      </w:r>
    </w:p>
    <w:p>
      <w:r>
        <w:rPr>
          <w:rFonts w:ascii="等线(中文正文)" w:hAnsi="等线(中文正文)" w:cs="等线(中文正文)" w:eastAsia="等线(中文正文)"/>
          <w:b w:val="false"/>
          <w:i w:val="false"/>
          <w:sz w:val="20"/>
        </w:rPr>
        <w:t>讨论了投资组合中不同标的的波动性，特别是消费与电子、通讯等成长型标的之间的负相关关系，这种关系并非由业务相关性决定，而是市场风格变化和投资者行为导致的。未来市场表现的不确定性，使得精准预测并据此配置资产变得困难，强调了组合配置应基于长期收益预期而非短期市场波动。</w:t>
      </w:r>
    </w:p>
    <w:p>
      <w:r>
        <w:rPr>
          <w:rFonts w:ascii="等线(中文正文)" w:hAnsi="等线(中文正文)" w:cs="等线(中文正文)" w:eastAsia="等线(中文正文)"/>
          <w:b w:val="false"/>
          <w:i w:val="false"/>
          <w:sz w:val="20"/>
        </w:rPr>
        <w:t/>
      </w:r>
    </w:p>
    <w:p>
      <w:pPr>
        <w:pStyle w:val="ab"/>
        <w:numPr>
          <w:numId w:val="2"/>
        </w:numPr>
      </w:pPr>
      <w:r>
        <w:t>02:51 投资决策与受迫交易的界定</w:t>
      </w:r>
    </w:p>
    <w:p>
      <w:r>
        <w:rPr>
          <w:rFonts w:ascii="等线(中文正文)" w:hAnsi="等线(中文正文)" w:cs="等线(中文正文)" w:eastAsia="等线(中文正文)"/>
          <w:b w:val="false"/>
          <w:i w:val="false"/>
          <w:sz w:val="20"/>
        </w:rPr>
        <w:t>讨论了如何判断投资交易是否受迫进行，强调交易前应设定明确规则，包括买入、卖出条件，以及应对意外情况的预案，确保决策逻辑自洽且完备，以减少情绪影响，实现长期稳定盈利。</w:t>
      </w:r>
    </w:p>
    <w:p>
      <w:r>
        <w:rPr>
          <w:rFonts w:ascii="等线(中文正文)" w:hAnsi="等线(中文正文)" w:cs="等线(中文正文)" w:eastAsia="等线(中文正文)"/>
          <w:b w:val="false"/>
          <w:i w:val="false"/>
          <w:sz w:val="20"/>
        </w:rPr>
        <w:t/>
      </w:r>
    </w:p>
    <w:p>
      <w:pPr>
        <w:pStyle w:val="ab"/>
        <w:numPr>
          <w:numId w:val="3"/>
        </w:numPr>
      </w:pPr>
      <w:r>
        <w:t>07:06 投资者如何建立抵御噪音的交易过滤器</w:t>
      </w:r>
    </w:p>
    <w:p>
      <w:r>
        <w:rPr>
          <w:rFonts w:ascii="等线(中文正文)" w:hAnsi="等线(中文正文)" w:cs="等线(中文正文)" w:eastAsia="等线(中文正文)"/>
          <w:b w:val="false"/>
          <w:i w:val="false"/>
          <w:sz w:val="20"/>
        </w:rPr>
        <w:t>讨论了投资者在面对信息噪音时，如何通过隔离无用信息和建立高级过滤器来减少受迫交易。强调深度研究对于识别噪声的重要性，以及科技领域投资的高门槛。建议投资者根据自身情况选择是否投入时间建立过滤器或避免投资高噪音领域。</w:t>
      </w:r>
    </w:p>
    <w:p>
      <w:r>
        <w:rPr>
          <w:rFonts w:ascii="等线(中文正文)" w:hAnsi="等线(中文正文)" w:cs="等线(中文正文)" w:eastAsia="等线(中文正文)"/>
          <w:b w:val="false"/>
          <w:i w:val="false"/>
          <w:sz w:val="20"/>
        </w:rPr>
        <w:t/>
      </w:r>
    </w:p>
    <w:p>
      <w:pPr>
        <w:pStyle w:val="ab"/>
        <w:numPr>
          <w:numId w:val="4"/>
        </w:numPr>
      </w:pPr>
      <w:r>
        <w:t>12:51 白酒板块现状与投资策略解析</w:t>
      </w:r>
    </w:p>
    <w:p>
      <w:r>
        <w:rPr>
          <w:rFonts w:ascii="等线(中文正文)" w:hAnsi="等线(中文正文)" w:cs="等线(中文正文)" w:eastAsia="等线(中文正文)"/>
          <w:b w:val="false"/>
          <w:i w:val="false"/>
          <w:sz w:val="20"/>
        </w:rPr>
        <w:t>对话围绕白酒板块是否触底及利润预减是否预示下跌展开，指出终端需求和盈利能力处于行业低点，但利润预减不直接关联股价变动。提及因监管风险调整投资组合，强调公募基金的股票库管理规范，以及提前规避风险的策略。建议关注年报时的整体持仓变化。</w:t>
      </w:r>
    </w:p>
    <w:p>
      <w:r>
        <w:rPr>
          <w:rFonts w:ascii="等线(中文正文)" w:hAnsi="等线(中文正文)" w:cs="等线(中文正文)" w:eastAsia="等线(中文正文)"/>
          <w:b w:val="false"/>
          <w:i w:val="false"/>
          <w:sz w:val="20"/>
        </w:rPr>
        <w:t/>
      </w:r>
    </w:p>
    <w:p>
      <w:pPr>
        <w:pStyle w:val="a7"/>
      </w:pPr>
      <w:r>
        <w:t>发言总结</w:t>
      </w:r>
    </w:p>
    <w:p>
      <w:pPr>
        <w:pStyle w:val="ab"/>
        <w:numPr>
          <w:numId w:val="5"/>
        </w:numPr>
      </w:pPr>
      <w:r>
        <w:t>发言人1</w:t>
      </w:r>
    </w:p>
    <w:p>
      <w:r>
        <w:rPr>
          <w:rFonts w:ascii="等线(中文正文)" w:hAnsi="等线(中文正文)" w:cs="等线(中文正文)" w:eastAsia="等线(中文正文)"/>
          <w:b w:val="false"/>
          <w:i w:val="false"/>
          <w:sz w:val="20"/>
        </w:rPr>
        <w:t>他讨论了投资市场的复杂性和不可预测性，强调即使某些资产类别在短期内可能波动，但从长期来看，市场的变化难以准确预测。他指出，尽管历史数据可以提供参考，但未来存在不确定性，投资者不应完全依赖过去的模式来预测市场。他强调，投资决策应基于详尽的研究和策略，而非情绪反应或市场噪音，强调过滤不相关信息和建立有效决策框架的重要性。此外，他还谈到了公募基金在管理投资组合时需要遵循的规范，包括如何处理监管风险和不符合投资策略的股票。他建议投资者应深入研究投资对象，并根据自己的投资标准和策略做出决策，而不是被市场波动或短期信息所影响。</w:t>
      </w:r>
    </w:p>
    <w:p>
      <w:r>
        <w:rPr>
          <w:rFonts w:ascii="等线(中文正文)" w:hAnsi="等线(中文正文)" w:cs="等线(中文正文)" w:eastAsia="等线(中文正文)"/>
          <w:b w:val="false"/>
          <w:i w:val="false"/>
          <w:sz w:val="20"/>
        </w:rPr>
        <w:t/>
      </w:r>
    </w:p>
    <w:p>
      <w:pPr>
        <w:pStyle w:val="a7"/>
      </w:pPr>
      <w:r>
        <w:t>要点回顾</w:t>
      </w:r>
    </w:p>
    <w:p>
      <w:pPr>
        <w:pStyle w:val="ab"/>
      </w:pPr>
      <w:r>
        <w:t>在市场波动时，消费类和电子、通讯等成长类资产的表现为何呈现出负相关性？</w:t>
      </w:r>
    </w:p>
    <w:p>
      <w:r>
        <w:rPr>
          <w:rFonts w:ascii="等线(中文正文)" w:hAnsi="等线(中文正文)" w:cs="等线(中文正文)" w:eastAsia="等线(中文正文)"/>
          <w:b w:val="false"/>
          <w:i w:val="false"/>
          <w:sz w:val="20"/>
        </w:rPr>
        <w:t>发言人1：这主要是由于市场风格变化导致的一部分边际投资者在不同资产间快速切换买卖行为，使得这两种类型资产表现出跷跷板特征，即负相关性。不过，这种负相关性并不稳定，因为它们在业务上并无直接因果关系，只是在市场风格转换时表现出反向波动。</w:t>
      </w:r>
    </w:p>
    <w:p>
      <w:r>
        <w:rPr>
          <w:rFonts w:ascii="等线(中文正文)" w:hAnsi="等线(中文正文)" w:cs="等线(中文正文)" w:eastAsia="等线(中文正文)"/>
          <w:b w:val="false"/>
          <w:i w:val="false"/>
          <w:sz w:val="20"/>
        </w:rPr>
        <w:t/>
      </w:r>
    </w:p>
    <w:p>
      <w:pPr>
        <w:pStyle w:val="ab"/>
      </w:pPr>
      <w:r>
        <w:t>如果资金大量涌入或流出股市，会对市场产生何种影响？</w:t>
      </w:r>
    </w:p>
    <w:p>
      <w:r>
        <w:rPr>
          <w:rFonts w:ascii="等线(中文正文)" w:hAnsi="等线(中文正文)" w:cs="等线(中文正文)" w:eastAsia="等线(中文正文)"/>
          <w:b w:val="false"/>
          <w:i w:val="false"/>
          <w:sz w:val="20"/>
        </w:rPr>
        <w:t>发言人1：大量净增加的资金可能会导致股市两边资产同时上涨，而净流出的资金则可能导致股市急跌。因此，资金流动情况会影响股市行情的稳定性，但交易行为本身的不稳定性并不能作为长期配置资产的标准依据。</w:t>
      </w:r>
    </w:p>
    <w:p>
      <w:r>
        <w:rPr>
          <w:rFonts w:ascii="等线(中文正文)" w:hAnsi="等线(中文正文)" w:cs="等线(中文正文)" w:eastAsia="等线(中文正文)"/>
          <w:b w:val="false"/>
          <w:i w:val="false"/>
          <w:sz w:val="20"/>
        </w:rPr>
        <w:t/>
      </w:r>
    </w:p>
    <w:p>
      <w:pPr>
        <w:pStyle w:val="ab"/>
      </w:pPr>
      <w:r>
        <w:t>如何判断自己的投资交易是否受短期情绪影响？</w:t>
      </w:r>
    </w:p>
    <w:p>
      <w:r>
        <w:rPr>
          <w:rFonts w:ascii="等线(中文正文)" w:hAnsi="等线(中文正文)" w:cs="等线(中文正文)" w:eastAsia="等线(中文正文)"/>
          <w:b w:val="false"/>
          <w:i w:val="false"/>
          <w:sz w:val="20"/>
        </w:rPr>
        <w:t>发言人1：要判断交易是否受情绪驱动，首先需要事前设定清晰的交易规则，明确买入和卖出的条件，并尽可能完备地覆盖各种可能的情况，包括意外事件。将这些决策标准写在纸上，确保逻辑自洽且完备，这样大部分受情绪影响的交易就能被排除在外。在实际操作中，投资者应快速回顾这些预设的标准，避免被盘中信息或情绪所干扰。</w:t>
      </w:r>
    </w:p>
    <w:p>
      <w:r>
        <w:rPr>
          <w:rFonts w:ascii="等线(中文正文)" w:hAnsi="等线(中文正文)" w:cs="等线(中文正文)" w:eastAsia="等线(中文正文)"/>
          <w:b w:val="false"/>
          <w:i w:val="false"/>
          <w:sz w:val="20"/>
        </w:rPr>
        <w:t/>
      </w:r>
    </w:p>
    <w:p>
      <w:pPr>
        <w:pStyle w:val="ab"/>
      </w:pPr>
      <w:r>
        <w:t>对于普通投资者而言，如何建立抵御受迫交易的过滤器？</w:t>
      </w:r>
    </w:p>
    <w:p>
      <w:r>
        <w:rPr>
          <w:rFonts w:ascii="等线(中文正文)" w:hAnsi="等线(中文正文)" w:cs="等线(中文正文)" w:eastAsia="等线(中文正文)"/>
          <w:b w:val="false"/>
          <w:i w:val="false"/>
          <w:sz w:val="20"/>
        </w:rPr>
        <w:t>发言人1：建议首先从信息隔离的角度着手，将可能带来噪声信息的来源暂时屏蔽，如盘中的股价波动、社交媒体上的小视频或小作文等，因为识别这些信息中的有效信号较难，且它们往往占比更高。虽然会错失一些有用信息，但隔离噪声信息对最终决策更有利。此外，培养和训练自己在面对市场波动时保持冷静和理性判断的能力，也是建立抵御受迫交易过滤器的重要一环。</w:t>
      </w:r>
    </w:p>
    <w:p>
      <w:r>
        <w:rPr>
          <w:rFonts w:ascii="等线(中文正文)" w:hAnsi="等线(中文正文)" w:cs="等线(中文正文)" w:eastAsia="等线(中文正文)"/>
          <w:b w:val="false"/>
          <w:i w:val="false"/>
          <w:sz w:val="20"/>
        </w:rPr>
        <w:t/>
      </w:r>
    </w:p>
    <w:p>
      <w:pPr>
        <w:pStyle w:val="ab"/>
      </w:pPr>
      <w:r>
        <w:t>在最近信息爆炸时期，您是否采取了刻意或准备好的信息过滤行为？</w:t>
      </w:r>
    </w:p>
    <w:p>
      <w:r>
        <w:rPr>
          <w:rFonts w:ascii="等线(中文正文)" w:hAnsi="等线(中文正文)" w:cs="等线(中文正文)" w:eastAsia="等线(中文正文)"/>
          <w:b w:val="false"/>
          <w:i w:val="false"/>
          <w:sz w:val="20"/>
        </w:rPr>
        <w:t>发言人1：其实我们日常做的深度研究就是在建立过滤器，通过长期的研究和积累，形成对产业、生意、产品和技术的准确认知模型，从而过滤掉大部分噪声信息。这个过程需要花费很长时间且较为痛苦，但这是投资中处理有噪声信息的必修课。</w:t>
      </w:r>
    </w:p>
    <w:p>
      <w:r>
        <w:rPr>
          <w:rFonts w:ascii="等线(中文正文)" w:hAnsi="等线(中文正文)" w:cs="等线(中文正文)" w:eastAsia="等线(中文正文)"/>
          <w:b w:val="false"/>
          <w:i w:val="false"/>
          <w:sz w:val="20"/>
        </w:rPr>
        <w:t/>
      </w:r>
    </w:p>
    <w:p>
      <w:pPr>
        <w:pStyle w:val="ab"/>
      </w:pPr>
      <w:r>
        <w:t>面对建立过滤器的复杂性和麻烦，投资者是否会选择不投资该领域？</w:t>
      </w:r>
    </w:p>
    <w:p>
      <w:r>
        <w:rPr>
          <w:rFonts w:ascii="等线(中文正文)" w:hAnsi="等线(中文正文)" w:cs="等线(中文正文)" w:eastAsia="等线(中文正文)"/>
          <w:b w:val="false"/>
          <w:i w:val="false"/>
          <w:sz w:val="20"/>
        </w:rPr>
        <w:t>发言人1：这是很普遍的现象，不投资可以避免付出这个代价，但若想投资就不能嫌建立过滤器麻烦。科技研究确实存在门槛，因为它需要付出时间和劳动，不同投资者有不同的选择。</w:t>
      </w:r>
    </w:p>
    <w:p>
      <w:r>
        <w:rPr>
          <w:rFonts w:ascii="等线(中文正文)" w:hAnsi="等线(中文正文)" w:cs="等线(中文正文)" w:eastAsia="等线(中文正文)"/>
          <w:b w:val="false"/>
          <w:i w:val="false"/>
          <w:sz w:val="20"/>
        </w:rPr>
        <w:t/>
      </w:r>
    </w:p>
    <w:p>
      <w:pPr>
        <w:pStyle w:val="ab"/>
      </w:pPr>
      <w:r>
        <w:t>白酒板块近期利润预减，是否意味着整个行业触底并将继续下跌？对于组合中的白酒股调整，是基于什么原因做出的决策？</w:t>
      </w:r>
    </w:p>
    <w:p>
      <w:r>
        <w:rPr>
          <w:rFonts w:ascii="等线(中文正文)" w:hAnsi="等线(中文正文)" w:cs="等线(中文正文)" w:eastAsia="等线(中文正文)"/>
          <w:b w:val="false"/>
          <w:i w:val="false"/>
          <w:sz w:val="20"/>
        </w:rPr>
        <w:t>发言人1：白酒行业触底与否取决于对触底的定义，如果行业整体需求和盈利能力处于景气低点附近，则可认为已触底。至于上市公司利润预减，并不代表行业运行情况也差，因为它只反映了产业链的一部分，经销商环节的情况不在报表中体现，因此利润预减不一定导致股价下跌。根据个股情况和监管风险，我们可能会对某些个股进行调整，即使它们暂时处于亏损状态。作为公募基金管理人，我们需要遵守严格的股票库管理制度，对于存在监管风险的标的，必须在规定时间内卖出，即使我们认为其内在价值仍然存在。</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2026-08-08T05:03:25Z</dcterms:created>
  <dc:creator>Apache POI</dc:creator>
</cp:coreProperties>
</file>