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众生药业 260805_导读</w:t>
      </w:r>
    </w:p>
    <w:p>
      <w:pPr>
        <w:pStyle w:val="a0"/>
        <w:jc w:val="center"/>
      </w:pPr>
      <w:r>
        <w:t>2026年08月06日 08:23</w:t>
      </w:r>
    </w:p>
    <w:p>
      <w:pPr>
        <w:pStyle w:val="a7"/>
      </w:pPr>
      <w:r>
        <w:t>关键词</w:t>
      </w:r>
    </w:p>
    <w:p>
      <w:r>
        <w:rPr>
          <w:rFonts w:ascii="等线(中文正文)" w:hAnsi="等线(中文正文)" w:cs="等线(中文正文)" w:eastAsia="等线(中文正文)"/>
          <w:b w:val="false"/>
          <w:i w:val="false"/>
          <w:sz w:val="20"/>
        </w:rPr>
        <w:t xml:space="preserve">复方血栓通 脑栓通胶囊 心脑血管 代谢领域 呼吸领域 肝纤维化逆转 减肥药 医保目录 齐鲁制药 减重效率 长效维持治疗 临床数据 众生 1001 1225 肝纤维化 口服 安全性 机理 流感 </w:t>
      </w:r>
    </w:p>
    <w:p>
      <w:r>
        <w:rPr>
          <w:rFonts w:ascii="等线(中文正文)" w:hAnsi="等线(中文正文)" w:cs="等线(中文正文)" w:eastAsia="等线(中文正文)"/>
          <w:b w:val="false"/>
          <w:i w:val="false"/>
          <w:sz w:val="20"/>
        </w:rPr>
        <w:t/>
      </w:r>
    </w:p>
    <w:p>
      <w:pPr>
        <w:pStyle w:val="a7"/>
      </w:pPr>
      <w:r>
        <w:t>章节速览</w:t>
      </w:r>
    </w:p>
    <w:p>
      <w:pPr>
        <w:pStyle w:val="a7"/>
      </w:pPr>
      <w:r>
        <w:t>发言总结</w:t>
      </w:r>
    </w:p>
    <w:p>
      <w:pPr>
        <w:pStyle w:val="ab"/>
        <w:numPr>
          <w:numId w:val="1"/>
        </w:numPr>
      </w:pPr>
      <w:r>
        <w:t>发言人1</w:t>
      </w:r>
    </w:p>
    <w:p>
      <w:r>
        <w:rPr>
          <w:rFonts w:ascii="等线(中文正文)" w:hAnsi="等线(中文正文)" w:cs="等线(中文正文)" w:eastAsia="等线(中文正文)"/>
          <w:b w:val="false"/>
          <w:i w:val="false"/>
          <w:sz w:val="20"/>
        </w:rPr>
        <w:t>首先回顾了公司在2009年进入深交所后，在眼科、心脑血管、呼吸、消化、代谢等领域深耕所取得的成就，特别提到了复方血栓通系列制剂和脑栓通胶囊等核心产品的市场表现，强调这些产品在经历集采后，价格稳定、日服用成本低，并因此稳固了市场地位，尽管面临竞争，产品仍保持增长韧性。随后，他介绍了公司在创新研发方面的布局，通过众生睿创子公司在代谢和呼吸领域取得的进展，如双靶点GLP-1/GIP减肥药芮1225注射液及PDE抑制剂ZSP1001在肝纤维化治疗上的突破，指出这些创新药物不仅在疗效和安全性上表现出色，还具有巨大的市场潜力，特别是ZSP1001的销售峰值预期可达数十亿美金。他强调，这些创新药物的研发及市场应用对公司未来增长至关重要，通过对外授权有望增加收入并提升公司估值。</w:t>
      </w:r>
    </w:p>
    <w:p>
      <w:r>
        <w:rPr>
          <w:rFonts w:ascii="等线(中文正文)" w:hAnsi="等线(中文正文)" w:cs="等线(中文正文)" w:eastAsia="等线(中文正文)"/>
          <w:b w:val="false"/>
          <w:i w:val="false"/>
          <w:sz w:val="20"/>
        </w:rPr>
        <w:t/>
      </w:r>
    </w:p>
    <w:p>
      <w:pPr>
        <w:pStyle w:val="a7"/>
      </w:pPr>
      <w:r>
        <w:t>要点回顾</w:t>
      </w:r>
    </w:p>
    <w:p>
      <w:pPr>
        <w:pStyle w:val="ab"/>
      </w:pPr>
      <w:r>
        <w:t>公司在2009年主要在哪些治疗领域深耕，并且有哪些核心产品管线？</w:t>
      </w:r>
    </w:p>
    <w:p>
      <w:r>
        <w:rPr>
          <w:rFonts w:ascii="等线(中文正文)" w:hAnsi="等线(中文正文)" w:cs="等线(中文正文)" w:eastAsia="等线(中文正文)"/>
          <w:b w:val="false"/>
          <w:i w:val="false"/>
          <w:sz w:val="20"/>
        </w:rPr>
        <w:t>发言人1：公司在2009年主要深耕于眼科、心脑血管、呼吸、消化和代谢等治疗领域。其核心产品管线包括在院内中药领域的复方血栓通系列制剂以及脑栓通胶囊等大单品，在心脑血管慢病治疗领域具有重要的市场地位。这两款院内中药已经经历过全国和地区的中成药联盟集采，目前价格体系相对稳定且日服用金额较低。通过集采后的市场地位，公司的销售在入院环节和以量补价趋势下仍保持了一定的增长韧性。</w:t>
      </w:r>
    </w:p>
    <w:p>
      <w:r>
        <w:rPr>
          <w:rFonts w:ascii="等线(中文正文)" w:hAnsi="等线(中文正文)" w:cs="等线(中文正文)" w:eastAsia="等线(中文正文)"/>
          <w:b w:val="false"/>
          <w:i w:val="false"/>
          <w:sz w:val="20"/>
        </w:rPr>
        <w:t/>
      </w:r>
    </w:p>
    <w:p>
      <w:pPr>
        <w:pStyle w:val="ab"/>
      </w:pPr>
      <w:r>
        <w:t>公司在创新研发转型方面做了哪些布局，特别是在哪个子公司进行的投入？</w:t>
      </w:r>
    </w:p>
    <w:p>
      <w:r>
        <w:rPr>
          <w:rFonts w:ascii="等线(中文正文)" w:hAnsi="等线(中文正文)" w:cs="等线(中文正文)" w:eastAsia="等线(中文正文)"/>
          <w:b w:val="false"/>
          <w:i w:val="false"/>
          <w:sz w:val="20"/>
        </w:rPr>
        <w:t>发言人1：公司在创新研发转型方面的布局主要通过旗下的子公司众生睿创来进行。众生睿创的研发管线主要聚焦在代谢领域和呼吸领域的创新药研发，特别是在减肥药的研发上有所突破，例如去年市场关注的双靶点GLP-1和GIP的减肥药芮1225注射液。该产品具有每两周注射一次的长效性优势，并且在减重三期临床试验中表现出色，已完成全部受试者入组，预计今年下半年会有相关临床数据读出。</w:t>
      </w:r>
    </w:p>
    <w:p>
      <w:r>
        <w:rPr>
          <w:rFonts w:ascii="等线(中文正文)" w:hAnsi="等线(中文正文)" w:cs="等线(中文正文)" w:eastAsia="等线(中文正文)"/>
          <w:b w:val="false"/>
          <w:i w:val="false"/>
          <w:sz w:val="20"/>
        </w:rPr>
        <w:t/>
      </w:r>
    </w:p>
    <w:p>
      <w:pPr>
        <w:pStyle w:val="ab"/>
      </w:pPr>
      <w:r>
        <w:t>除了芮1225之外，公司在代谢领域还有哪些布局以及预计何时会进入临床阶段？公司针对呼吸领域有哪些布局，以及相关药物的疗效如何？</w:t>
      </w:r>
    </w:p>
    <w:p>
      <w:r>
        <w:rPr>
          <w:rFonts w:ascii="等线(中文正文)" w:hAnsi="等线(中文正文)" w:cs="等线(中文正文)" w:eastAsia="等线(中文正文)"/>
          <w:b w:val="false"/>
          <w:i w:val="false"/>
          <w:sz w:val="20"/>
        </w:rPr>
        <w:t>发言人1：除了芮1225之外，公司在代谢领域还布局了一系列如M0、三八点等口服药物，以及口服类减肥药物，产品布局丰富。其中，注射和口服M的产品有望在今年下半年申报IND进入临床阶段，形成公司管线的催化剂。此外，公司还披露了ZSP1001口服PDE靶点小分子药物的临床数据，该药用于mesh治疗，尤其在肝纤维化逆转方面的表现突出，有望成为大单品。公司在呼吸领域早在新冠疫情期间就研发布局了新冠药物如莱瑞特韦和流感药物阿拉蒂维，这两款药物在相关领域疗效显著。尤其是阿拉蒂维，在去年年底的医保谈判中顺利进入国家新版医保目录，作为国产差异化流感创新药，有利于其后续销售放量。</w:t>
      </w:r>
    </w:p>
    <w:p>
      <w:r>
        <w:rPr>
          <w:rFonts w:ascii="等线(中文正文)" w:hAnsi="等线(中文正文)" w:cs="等线(中文正文)" w:eastAsia="等线(中文正文)"/>
          <w:b w:val="false"/>
          <w:i w:val="false"/>
          <w:sz w:val="20"/>
        </w:rPr>
        <w:t/>
      </w:r>
    </w:p>
    <w:p>
      <w:pPr>
        <w:pStyle w:val="ab"/>
      </w:pPr>
      <w:r>
        <w:t>对于1225和ZSP1001这两款产品，它们对于公司的重要性以及潜在的市场表现如何？</w:t>
      </w:r>
    </w:p>
    <w:p>
      <w:r>
        <w:rPr>
          <w:rFonts w:ascii="等线(中文正文)" w:hAnsi="等线(中文正文)" w:cs="等线(中文正文)" w:eastAsia="等线(中文正文)"/>
          <w:b w:val="false"/>
          <w:i w:val="false"/>
          <w:sz w:val="20"/>
        </w:rPr>
        <w:t>发言人1：1225因其双周一次的使用依从性优势，以及与同类竞争品相比优秀的减重效果（高剂量组24周减重效率约15%），有望成为国内大单品。同时，基于国内相关的临床数据，ZSP1001也有望通过对外授权获得额外收益。这两款产品对公司未来发展意义重大。</w:t>
      </w:r>
    </w:p>
    <w:p>
      <w:r>
        <w:rPr>
          <w:rFonts w:ascii="等线(中文正文)" w:hAnsi="等线(中文正文)" w:cs="等线(中文正文)" w:eastAsia="等线(中文正文)"/>
          <w:b w:val="false"/>
          <w:i w:val="false"/>
          <w:sz w:val="20"/>
        </w:rPr>
        <w:t/>
      </w:r>
    </w:p>
    <w:p>
      <w:pPr>
        <w:pStyle w:val="ab"/>
      </w:pPr>
      <w:r>
        <w:t>在药物安全性方面，该产品表现如何？</w:t>
      </w:r>
    </w:p>
    <w:p>
      <w:r>
        <w:rPr>
          <w:rFonts w:ascii="等线(中文正文)" w:hAnsi="等线(中文正文)" w:cs="等线(中文正文)" w:eastAsia="等线(中文正文)"/>
          <w:b w:val="false"/>
          <w:i w:val="false"/>
          <w:sz w:val="20"/>
        </w:rPr>
        <w:t>发言人1：该产品在GLP-1常规性副反应发生率上表现出色，相较于同类药物，其恶心、呕吐、腹泻等肠胃道副反应的发生率较低，甚至可以控制在个位数百分比水平。这样的低副反应率有利于患者长期用药，减少中断用药的情况，类似于思美等药品的既有经验。</w:t>
      </w:r>
    </w:p>
    <w:p>
      <w:r>
        <w:rPr>
          <w:rFonts w:ascii="等线(中文正文)" w:hAnsi="等线(中文正文)" w:cs="等线(中文正文)" w:eastAsia="等线(中文正文)"/>
          <w:b w:val="false"/>
          <w:i w:val="false"/>
          <w:sz w:val="20"/>
        </w:rPr>
        <w:t/>
      </w:r>
    </w:p>
    <w:p>
      <w:pPr>
        <w:pStyle w:val="ab"/>
      </w:pPr>
      <w:r>
        <w:t>对于GLP-1领域药物，停药后是否会存在反弹问题？1225药物在国内和海外市场的前景如何？</w:t>
      </w:r>
    </w:p>
    <w:p>
      <w:r>
        <w:rPr>
          <w:rFonts w:ascii="等线(中文正文)" w:hAnsi="等线(中文正文)" w:cs="等线(中文正文)" w:eastAsia="等线(中文正文)"/>
          <w:b w:val="false"/>
          <w:i w:val="false"/>
          <w:sz w:val="20"/>
        </w:rPr>
        <w:t>发言人1：该产品通过长效维持治疗的方式，能够在很大程度上避免减重治疗后期出现的体重反弹问题，并且由于肠胃道反应低，安全性更好，有望在国内或海外市场份额中占据优势地位。1225药物在国内有潜力达到30亿级别的销售峰值，同时也有望通过海外合作实现几十亿美金体量的海外峰值销售。</w:t>
      </w:r>
    </w:p>
    <w:p>
      <w:r>
        <w:rPr>
          <w:rFonts w:ascii="等线(中文正文)" w:hAnsi="等线(中文正文)" w:cs="等线(中文正文)" w:eastAsia="等线(中文正文)"/>
          <w:b w:val="false"/>
          <w:i w:val="false"/>
          <w:sz w:val="20"/>
        </w:rPr>
        <w:t/>
      </w:r>
    </w:p>
    <w:p>
      <w:pPr>
        <w:pStyle w:val="ab"/>
      </w:pPr>
      <w:r>
        <w:t>公司与齐鲁制药关于1225药物商业化权益的许可协议具体内容是什么？</w:t>
      </w:r>
    </w:p>
    <w:p>
      <w:r>
        <w:rPr>
          <w:rFonts w:ascii="等线(中文正文)" w:hAnsi="等线(中文正文)" w:cs="等线(中文正文)" w:eastAsia="等线(中文正文)"/>
          <w:b w:val="false"/>
          <w:i w:val="false"/>
          <w:sz w:val="20"/>
        </w:rPr>
        <w:t>发言人1：公司在2022年1月份与齐鲁制药签订了许可协议，将中国区1225药物的商业化权益交由齐鲁制药负责。齐鲁制药在代谢及细分领域的商业化能力和渠道能力强，有利于该产品上市后的国内推广。</w:t>
      </w:r>
    </w:p>
    <w:p>
      <w:r>
        <w:rPr>
          <w:rFonts w:ascii="等线(中文正文)" w:hAnsi="等线(中文正文)" w:cs="等线(中文正文)" w:eastAsia="等线(中文正文)"/>
          <w:b w:val="false"/>
          <w:i w:val="false"/>
          <w:sz w:val="20"/>
        </w:rPr>
        <w:t/>
      </w:r>
    </w:p>
    <w:p>
      <w:pPr>
        <w:pStyle w:val="ab"/>
      </w:pPr>
      <w:r>
        <w:t>GSP1001这款产品有何独特之处以及其适应症的重要性？</w:t>
      </w:r>
    </w:p>
    <w:p>
      <w:r>
        <w:rPr>
          <w:rFonts w:ascii="等线(中文正文)" w:hAnsi="等线(中文正文)" w:cs="等线(中文正文)" w:eastAsia="等线(中文正文)"/>
          <w:b w:val="false"/>
          <w:i w:val="false"/>
          <w:sz w:val="20"/>
        </w:rPr>
        <w:t>发言人1：GSP1001产品针对的适应症——NASH（非酒精性脂肪性肝炎）是一个过去未得到充分满足的治疗领域，其严重程度远高于肥胖和超重，属于严肃医疗领域。如果该药物能实现比现有药物更好的疗效，将具有更强的治疗意义，并在未来市场份额争夺中有较大潜力。</w:t>
      </w:r>
    </w:p>
    <w:p>
      <w:r>
        <w:rPr>
          <w:rFonts w:ascii="等线(中文正文)" w:hAnsi="等线(中文正文)" w:cs="等线(中文正文)" w:eastAsia="等线(中文正文)"/>
          <w:b w:val="false"/>
          <w:i w:val="false"/>
          <w:sz w:val="20"/>
        </w:rPr>
        <w:t/>
      </w:r>
    </w:p>
    <w:p>
      <w:pPr>
        <w:pStyle w:val="ab"/>
      </w:pPr>
      <w:r>
        <w:t>目前针对NASH适应症获批的药物情况如何？</w:t>
      </w:r>
    </w:p>
    <w:p>
      <w:r>
        <w:rPr>
          <w:rFonts w:ascii="等线(中文正文)" w:hAnsi="等线(中文正文)" w:cs="等线(中文正文)" w:eastAsia="等线(中文正文)"/>
          <w:b w:val="false"/>
          <w:i w:val="false"/>
          <w:sz w:val="20"/>
        </w:rPr>
        <w:t>发言人1：目前针对NASH适应症获批的药物非常少，仅有Margo的Reserve term（THR贝塔）靶点药物和GLP-1药物斯美格鲁肽获批了NASH适应症。</w:t>
      </w:r>
    </w:p>
    <w:p>
      <w:r>
        <w:rPr>
          <w:rFonts w:ascii="等线(中文正文)" w:hAnsi="等线(中文正文)" w:cs="等线(中文正文)" w:eastAsia="等线(中文正文)"/>
          <w:b w:val="false"/>
          <w:i w:val="false"/>
          <w:sz w:val="20"/>
        </w:rPr>
        <w:t/>
      </w:r>
    </w:p>
    <w:p>
      <w:pPr>
        <w:pStyle w:val="ab"/>
      </w:pPr>
      <w:r>
        <w:t>NASH疾病进展阶段以及对应治疗需求的情况如何？</w:t>
      </w:r>
    </w:p>
    <w:p>
      <w:r>
        <w:rPr>
          <w:rFonts w:ascii="等线(中文正文)" w:hAnsi="等线(中文正文)" w:cs="等线(中文正文)" w:eastAsia="等线(中文正文)"/>
          <w:b w:val="false"/>
          <w:i w:val="false"/>
          <w:sz w:val="20"/>
        </w:rPr>
        <w:t>发言人1：NASH疾病发展过程中，从正常肝脏演变成NASH需要经历一系列过程，其中高级别如F2级别以上的患者对于肝纤维化逆转等治疗需求强烈，以避免恶化为肝硬化甚至肝癌。</w:t>
      </w:r>
    </w:p>
    <w:p>
      <w:r>
        <w:rPr>
          <w:rFonts w:ascii="等线(中文正文)" w:hAnsi="等线(中文正文)" w:cs="等线(中文正文)" w:eastAsia="等线(中文正文)"/>
          <w:b w:val="false"/>
          <w:i w:val="false"/>
          <w:sz w:val="20"/>
        </w:rPr>
        <w:t/>
      </w:r>
    </w:p>
    <w:p>
      <w:pPr>
        <w:pStyle w:val="ab"/>
      </w:pPr>
      <w:r>
        <w:t>众生的ZSP11601在治疗NASH方面的表现如何？</w:t>
      </w:r>
    </w:p>
    <w:p>
      <w:r>
        <w:rPr>
          <w:rFonts w:ascii="等线(中文正文)" w:hAnsi="等线(中文正文)" w:cs="等线(中文正文)" w:eastAsia="等线(中文正文)"/>
          <w:b w:val="false"/>
          <w:i w:val="false"/>
          <w:sz w:val="20"/>
        </w:rPr>
        <w:t>发言人1：ZSP11601在五月份发布的数据显示，在混合终点（包括NASH缓解率和肝纤维化逆转）上表现突出，特别是在肝纤维化逆转方面的改善比例接近30%，这一改善率明显优于同类药物，并且与TCR贝塔口服药物相当。</w:t>
      </w:r>
    </w:p>
    <w:p>
      <w:r>
        <w:rPr>
          <w:rFonts w:ascii="等线(中文正文)" w:hAnsi="等线(中文正文)" w:cs="等线(中文正文)" w:eastAsia="等线(中文正文)"/>
          <w:b w:val="false"/>
          <w:i w:val="false"/>
          <w:sz w:val="20"/>
        </w:rPr>
        <w:t/>
      </w:r>
    </w:p>
    <w:p>
      <w:pPr>
        <w:pStyle w:val="ab"/>
      </w:pPr>
      <w:r>
        <w:t>在口服领域中，众生的FGF21相关口服药物表现如何？</w:t>
      </w:r>
    </w:p>
    <w:p>
      <w:r>
        <w:rPr>
          <w:rFonts w:ascii="等线(中文正文)" w:hAnsi="等线(中文正文)" w:cs="等线(中文正文)" w:eastAsia="等线(中文正文)"/>
          <w:b w:val="false"/>
          <w:i w:val="false"/>
          <w:sz w:val="20"/>
        </w:rPr>
        <w:t>发言人1：众生的口服药物在肝纤维化逆转方面具备best win class的潜力，预计海外销售峰值可能超过60亿美金，并且在国内有潜力达到20亿至30亿人民币的销售峰值。</w:t>
      </w:r>
    </w:p>
    <w:p>
      <w:r>
        <w:rPr>
          <w:rFonts w:ascii="等线(中文正文)" w:hAnsi="等线(中文正文)" w:cs="等线(中文正文)" w:eastAsia="等线(中文正文)"/>
          <w:b w:val="false"/>
          <w:i w:val="false"/>
          <w:sz w:val="20"/>
        </w:rPr>
        <w:t/>
      </w:r>
    </w:p>
    <w:p>
      <w:pPr>
        <w:pStyle w:val="ab"/>
      </w:pPr>
      <w:r>
        <w:t>这款口服药物的安全性情况如何？</w:t>
      </w:r>
    </w:p>
    <w:p>
      <w:r>
        <w:rPr>
          <w:rFonts w:ascii="等线(中文正文)" w:hAnsi="等线(中文正文)" w:cs="等线(中文正文)" w:eastAsia="等线(中文正文)"/>
          <w:b w:val="false"/>
          <w:i w:val="false"/>
          <w:sz w:val="20"/>
        </w:rPr>
        <w:t>发言人1：根据目前披露的信息，该药物未发生严重不良反应，整体口服安全性相对较好。公司预计会在下半年或未来某次学术会议上选择性地披露更多安全性数据。</w:t>
      </w:r>
    </w:p>
    <w:p>
      <w:r>
        <w:rPr>
          <w:rFonts w:ascii="等线(中文正文)" w:hAnsi="等线(中文正文)" w:cs="等线(中文正文)" w:eastAsia="等线(中文正文)"/>
          <w:b w:val="false"/>
          <w:i w:val="false"/>
          <w:sz w:val="20"/>
        </w:rPr>
        <w:t/>
      </w:r>
    </w:p>
    <w:p>
      <w:pPr>
        <w:pStyle w:val="ab"/>
      </w:pPr>
      <w:r>
        <w:t>该药物的临床试验在肝纤维化评估上采用了什么标准和方法？</w:t>
      </w:r>
    </w:p>
    <w:p>
      <w:r>
        <w:rPr>
          <w:rFonts w:ascii="等线(中文正文)" w:hAnsi="等线(中文正文)" w:cs="等线(中文正文)" w:eastAsia="等线(中文正文)"/>
          <w:b w:val="false"/>
          <w:i w:val="false"/>
          <w:sz w:val="20"/>
        </w:rPr>
        <w:t>发言人1：药物进行了肝穿刺检查，每位患者在治疗前后都经历了严格的肝纤维化评判过程，通过甘川病理图片由两位独立医生背对背进行评估，若出现不一致则由第三方独立医生审阅，确保了临床判别方法和数据质量的严谨性。</w:t>
      </w:r>
    </w:p>
    <w:p>
      <w:r>
        <w:rPr>
          <w:rFonts w:ascii="等线(中文正文)" w:hAnsi="等线(中文正文)" w:cs="等线(中文正文)" w:eastAsia="等线(中文正文)"/>
          <w:b w:val="false"/>
          <w:i w:val="false"/>
          <w:sz w:val="20"/>
        </w:rPr>
        <w:t/>
      </w:r>
    </w:p>
    <w:p>
      <w:pPr>
        <w:pStyle w:val="ab"/>
      </w:pPr>
      <w:r>
        <w:t>PPD靶点之前未应用于match治疗领域，但为何众生的药物仍具有潜力？</w:t>
      </w:r>
    </w:p>
    <w:p>
      <w:r>
        <w:rPr>
          <w:rFonts w:ascii="等线(中文正文)" w:hAnsi="等线(中文正文)" w:cs="等线(中文正文)" w:eastAsia="等线(中文正文)"/>
          <w:b w:val="false"/>
          <w:i w:val="false"/>
          <w:sz w:val="20"/>
        </w:rPr>
        <w:t>发言人1：虽然PPD靶点之前未应用于match治疗领域，但众生基于吉通可可碱这一老药进行了改构，对PDE靶点的选择性有了显著提升，结合效率也有所提高，这从机理上验证了NBD在未来慢性治疗领域的潜力。</w:t>
      </w:r>
    </w:p>
    <w:p>
      <w:r>
        <w:rPr>
          <w:rFonts w:ascii="等线(中文正文)" w:hAnsi="等线(中文正文)" w:cs="等线(中文正文)" w:eastAsia="等线(中文正文)"/>
          <w:b w:val="false"/>
          <w:i w:val="false"/>
          <w:sz w:val="20"/>
        </w:rPr>
        <w:t/>
      </w:r>
    </w:p>
    <w:p>
      <w:pPr>
        <w:pStyle w:val="ab"/>
      </w:pPr>
      <w:r>
        <w:t>除了1001和1225，还有哪些重点药物及其潜在应用？</w:t>
      </w:r>
    </w:p>
    <w:p>
      <w:r>
        <w:rPr>
          <w:rFonts w:ascii="等线(中文正文)" w:hAnsi="等线(中文正文)" w:cs="等线(中文正文)" w:eastAsia="等线(中文正文)"/>
          <w:b w:val="false"/>
          <w:i w:val="false"/>
          <w:sz w:val="20"/>
        </w:rPr>
        <w:t>发言人1：公司还有莱瑞特韦这款药物，结合国家流感中心发布的新冠疫情数据，这两款产品有望服务于国人，应对流感或新冠挑战，未来具有较大潜力。</w:t>
      </w:r>
    </w:p>
    <w:p>
      <w:r>
        <w:rPr>
          <w:rFonts w:ascii="等线(中文正文)" w:hAnsi="等线(中文正文)" w:cs="等线(中文正文)" w:eastAsia="等线(中文正文)"/>
          <w:b w:val="false"/>
          <w:i w:val="false"/>
          <w:sz w:val="20"/>
        </w:rPr>
        <w:t/>
      </w:r>
    </w:p>
    <w:p>
      <w:pPr>
        <w:pStyle w:val="ab"/>
      </w:pPr>
      <w:r>
        <w:t>对于众生下半年及未来有哪些关键关注点？</w:t>
      </w:r>
    </w:p>
    <w:p>
      <w:r>
        <w:rPr>
          <w:rFonts w:ascii="等线(中文正文)" w:hAnsi="等线(中文正文)" w:cs="等线(中文正文)" w:eastAsia="等线(中文正文)"/>
          <w:b w:val="false"/>
          <w:i w:val="false"/>
          <w:sz w:val="20"/>
        </w:rPr>
        <w:t>发言人1：下半年将持续关注1225的三期临床数据披露、1001和1225的对外授权谈判进度，以及公司其他在研药物如Emily口服、注射M药物及GLP-1药物的研发进展。此外，部分股权回收以及持股比例的提高也将对公司的整体估值产生积极影响，这些都成为未来的潜在催化剂。</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num w:numId="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2026-08-06T00:24:19Z</dcterms:created>
  <dc:creator>Apache POI</dc:creator>
</cp:coreProperties>
</file>