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东吴环保公用 - 军信股份：长沙固废一体化龙头，海外布局加速 260805_导读</w:t>
      </w:r>
    </w:p>
    <w:p>
      <w:pPr>
        <w:pStyle w:val="a0"/>
        <w:jc w:val="center"/>
      </w:pPr>
      <w:r>
        <w:t>2026年08月05日 22:30</w:t>
      </w:r>
    </w:p>
    <w:p>
      <w:pPr>
        <w:pStyle w:val="a7"/>
      </w:pPr>
      <w:r>
        <w:t>关键词</w:t>
      </w:r>
    </w:p>
    <w:p>
      <w:r>
        <w:rPr>
          <w:rFonts w:ascii="等线(中文正文)" w:hAnsi="等线(中文正文)" w:cs="等线(中文正文)" w:eastAsia="等线(中文正文)"/>
          <w:b w:val="false"/>
          <w:i w:val="false"/>
          <w:sz w:val="20"/>
        </w:rPr>
        <w:t xml:space="preserve">军信股份 长沙 垃圾焚烧 人和环境 比斯凯克 并购 现金流 分红 AIDC协同 成长性 湖南 固废资产 垃圾量 提效 特许经营权 利润贡献 产业链 高电价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军信股份，作为湖南省固废处理行业龙头，坐落于长沙，依托地域优势，业务遍及国内外，专注于生活垃圾中转、餐厨收运等项目，并于2024年成功收购人和环境63%股权，强化产业链上游。在国内，其总产能达8万吨/日，海外项目规模为9000吨/日。2025年，公司吨上网量486度，显著高于行业平均水平，加之湖南较高的标杆电价，推动盈利能力显著提升。公司ROE达到9.8%，同比增长0.9%，展现强劲的内生增长和外延扩张动力，特别是在产能提升、海外市场拓展及并购后的表现。公司现金流稳健，高分红比例，当前估值合理，预示着业绩增长潜力和良好的分红能力，值得重点关注。</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军信股份：湖南省环保行业龙头的全面解析</w:t>
      </w:r>
    </w:p>
    <w:p>
      <w:r>
        <w:rPr>
          <w:rFonts w:ascii="等线(中文正文)" w:hAnsi="等线(中文正文)" w:cs="等线(中文正文)" w:eastAsia="等线(中文正文)"/>
          <w:b w:val="false"/>
          <w:i w:val="false"/>
          <w:sz w:val="20"/>
        </w:rPr>
        <w:t>军信股份作为湖南省的环保行业龙头，位于长沙，享有区域优势。公司业务覆盖国内外，国内项目已投运11.18万吨/日，海外在建及投运9000吨/日，且于2024年底收购湖南人和环境63%股权，延伸产业链。2025年，公司吨上网电量达486度，超出同业均值43%，表现优异。</w:t>
      </w:r>
    </w:p>
    <w:p>
      <w:r>
        <w:rPr>
          <w:rFonts w:ascii="等线(中文正文)" w:hAnsi="等线(中文正文)" w:cs="等线(中文正文)" w:eastAsia="等线(中文正文)"/>
          <w:b w:val="false"/>
          <w:i w:val="false"/>
          <w:sz w:val="20"/>
        </w:rPr>
        <w:t/>
      </w:r>
    </w:p>
    <w:p>
      <w:pPr>
        <w:pStyle w:val="ab"/>
        <w:numPr>
          <w:numId w:val="2"/>
        </w:numPr>
      </w:pPr>
      <w:r>
        <w:t>02:12 公司业绩增长与战略拓展分析</w:t>
      </w:r>
    </w:p>
    <w:p>
      <w:r>
        <w:rPr>
          <w:rFonts w:ascii="等线(中文正文)" w:hAnsi="等线(中文正文)" w:cs="等线(中文正文)" w:eastAsia="等线(中文正文)"/>
          <w:b w:val="false"/>
          <w:i w:val="false"/>
          <w:sz w:val="20"/>
        </w:rPr>
        <w:t>对话围绕公司业绩增长和战略拓展展开，指出公司受益于高电价和优质固废资产，国内产能通过新项目建成和存量项目提质增效持续增长，同时积极拓展海外市场，尤其是中亚地区，首个海外项目已投运并预计带来利润贡献。此外，公司通过并购人和环境子公司，获得生活垃圾中转处理和餐厨垃圾收运的特许经营权，进一步提升产业链协同效应，为公司带来额外利润。</w:t>
      </w:r>
    </w:p>
    <w:p>
      <w:r>
        <w:rPr>
          <w:rFonts w:ascii="等线(中文正文)" w:hAnsi="等线(中文正文)" w:cs="等线(中文正文)" w:eastAsia="等线(中文正文)"/>
          <w:b w:val="false"/>
          <w:i w:val="false"/>
          <w:sz w:val="20"/>
        </w:rPr>
        <w:t/>
      </w:r>
    </w:p>
    <w:p>
      <w:pPr>
        <w:pStyle w:val="ab"/>
        <w:numPr>
          <w:numId w:val="3"/>
        </w:numPr>
      </w:pPr>
      <w:r>
        <w:t>05:36 军信股份垃圾焚烧与AIDC协同潜力分析</w:t>
      </w:r>
    </w:p>
    <w:p>
      <w:r>
        <w:rPr>
          <w:rFonts w:ascii="等线(中文正文)" w:hAnsi="等线(中文正文)" w:cs="等线(中文正文)" w:eastAsia="等线(中文正文)"/>
          <w:b w:val="false"/>
          <w:i w:val="false"/>
          <w:sz w:val="20"/>
        </w:rPr>
        <w:t>军信股份在长沙项目中展现垃圾焚烧与AIDC协同的潜力，新中标三期项目规模大，且有合作方经验支持。海外中亚项目有望构建一体化模式，未来成长性和利润贡献显著。</w:t>
      </w:r>
    </w:p>
    <w:p>
      <w:r>
        <w:rPr>
          <w:rFonts w:ascii="等线(中文正文)" w:hAnsi="等线(中文正文)" w:cs="等线(中文正文)" w:eastAsia="等线(中文正文)"/>
          <w:b w:val="false"/>
          <w:i w:val="false"/>
          <w:sz w:val="20"/>
        </w:rPr>
        <w:t/>
      </w:r>
    </w:p>
    <w:p>
      <w:pPr>
        <w:pStyle w:val="ab"/>
        <w:numPr>
          <w:numId w:val="4"/>
        </w:numPr>
      </w:pPr>
      <w:r>
        <w:t>07:48 垃圾焚烧企业高分红与成长性分析</w:t>
      </w:r>
    </w:p>
    <w:p>
      <w:r>
        <w:rPr>
          <w:rFonts w:ascii="等线(中文正文)" w:hAnsi="等线(中文正文)" w:cs="等线(中文正文)" w:eastAsia="等线(中文正文)"/>
          <w:b w:val="false"/>
          <w:i w:val="false"/>
          <w:sz w:val="20"/>
        </w:rPr>
        <w:t>对话深入分析了一家垃圾焚烧企业的财务健康状况，强调了其稳定的现金流和高分红能力，预计未来几年内现金流将持续增长，分红比例保持高位。同时，企业受益于长沙区位优势，国内项目持续优化，海外项目如比斯凯克1000吨项目将带来全利润贡献，人和子公司提油率提升也将增加利润。基于成长性和现金流优势，当前估值合理，推荐关注该企业。</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首先强调了军信股份公司作为湖南省固废处理行业的领军者，特别是在长沙的优越地理位置下，展现出强大的成长潜力和稳定的现金流。公司的业务范围广泛，不仅覆盖国内市场，还延伸至海外市场，涵盖生活垃圾中转、餐厨收运等特许经营项目，并通过收购人和环境公司强化了产业链上游的业务能力。他深入讨论了公司的产能布局、项目实施进度、并购带来的效益，以及与垃圾焚烧和AI、大数据（AIDC）技术协同工作的潜力，凸显了其在国内外市场的竞争力。此外，他指出公司拥有良好的盈利能力及高分红比例，基于当前估值情况给出了积极的推荐意见。最后，他重申了军信股份受益于长沙的区位优势和多维度的成长潜力，预示着未来业绩持续增长及高分红的前景，鼓励投资者关注公司的发展动态。</w:t>
      </w:r>
    </w:p>
    <w:p>
      <w:r>
        <w:rPr>
          <w:rFonts w:ascii="等线(中文正文)" w:hAnsi="等线(中文正文)" w:cs="等线(中文正文)" w:eastAsia="等线(中文正文)"/>
          <w:b w:val="false"/>
          <w:i w:val="false"/>
          <w:sz w:val="20"/>
        </w:rPr>
        <w:t/>
      </w:r>
    </w:p>
    <w:p>
      <w:pPr>
        <w:pStyle w:val="a7"/>
      </w:pPr>
      <w:r>
        <w:t>要点回顾</w:t>
      </w:r>
    </w:p>
    <w:p>
      <w:pPr>
        <w:pStyle w:val="ab"/>
      </w:pPr>
      <w:r>
        <w:t>军信股份的基本情况如何，以及它的主要产能分布在哪里？军信股份在国内和国外项目的进展及盈利能力如何？</w:t>
      </w:r>
    </w:p>
    <w:p>
      <w:r>
        <w:rPr>
          <w:rFonts w:ascii="等线(中文正文)" w:hAnsi="等线(中文正文)" w:cs="等线(中文正文)" w:eastAsia="等线(中文正文)"/>
          <w:b w:val="false"/>
          <w:i w:val="false"/>
          <w:sz w:val="20"/>
        </w:rPr>
        <w:t>发言人1：军信股份是湖南省的固废处理龙头，位于长沙，拥有长沙这一优质区域优势。公司产能主要分为国内、国外及2024年收购的湖南人和环境63%股权所涉及的产业链上游生活垃圾中转和餐厨收运特许经营权项目。在国内，已投运的日处理规模达11.18万吨，包括长沙19727吨和长沙以外的平江浏阳项目。此外，公司在建的长沙河西三期项目规模为4000吨每日。在海外，特别是在中亚地区，公司目前在建、筹建及已投运的日处理规模总计9000吨。国内方面，随着长沙一期、二期项目的投入运营以及平江浏阳新项目的建成投产，公司进一步巩固了湖南省内的优势地位，垃圾处理量强劲增长，存量项目也在不断提质增效，新项目的爬坡将带动国内垃圾焚烧资产主业业绩增长。海外方面，公司在中亚布局的四个项目中，首个比斯凯克一期1000吨每日规模已投运，预计2026年将为公司带来全年利润贡献。</w:t>
      </w:r>
    </w:p>
    <w:p>
      <w:r>
        <w:rPr>
          <w:rFonts w:ascii="等线(中文正文)" w:hAnsi="等线(中文正文)" w:cs="等线(中文正文)" w:eastAsia="等线(中文正文)"/>
          <w:b w:val="false"/>
          <w:i w:val="false"/>
          <w:sz w:val="20"/>
        </w:rPr>
        <w:t/>
      </w:r>
    </w:p>
    <w:p>
      <w:pPr>
        <w:pStyle w:val="ab"/>
      </w:pPr>
      <w:r>
        <w:t>军信股份在盈利能力上表现如何，有何竞争优势？</w:t>
      </w:r>
    </w:p>
    <w:p>
      <w:r>
        <w:rPr>
          <w:rFonts w:ascii="等线(中文正文)" w:hAnsi="等线(中文正文)" w:cs="等线(中文正文)" w:eastAsia="等线(中文正文)"/>
          <w:b w:val="false"/>
          <w:i w:val="false"/>
          <w:sz w:val="20"/>
        </w:rPr>
        <w:t>发言人1：军信股份因地处长沙，享有优质固废资产优势，其吨上网高达486度每吨，比同业公司平均值高出43%。同时，受益于湖南标杆电价0.45元每度，高于全国平均水平0.37元。在2025年，公司的平均ROE达到了9.8%，并保持稳定增长。公司通过内生增长和外延拓展，具备显著的成长性。</w:t>
      </w:r>
    </w:p>
    <w:p>
      <w:r>
        <w:rPr>
          <w:rFonts w:ascii="等线(中文正文)" w:hAnsi="等线(中文正文)" w:cs="等线(中文正文)" w:eastAsia="等线(中文正文)"/>
          <w:b w:val="false"/>
          <w:i w:val="false"/>
          <w:sz w:val="20"/>
        </w:rPr>
        <w:t/>
      </w:r>
    </w:p>
    <w:p>
      <w:pPr>
        <w:pStyle w:val="ab"/>
      </w:pPr>
      <w:r>
        <w:t>军信股份并购湖南人和环境子公司的影响及其业务状况？</w:t>
      </w:r>
    </w:p>
    <w:p>
      <w:r>
        <w:rPr>
          <w:rFonts w:ascii="等线(中文正文)" w:hAnsi="等线(中文正文)" w:cs="等线(中文正文)" w:eastAsia="等线(中文正文)"/>
          <w:b w:val="false"/>
          <w:i w:val="false"/>
          <w:sz w:val="20"/>
        </w:rPr>
        <w:t>发言人1：军信股份于2024年底收购了湖南人和环境63%的股权，并签订了对赌协议。该子公司拥有生活垃圾中转处理和餐厨垃圾收运两块特许经营权业务。由于这两项业务的良好经营情况，如生活垃圾中转处理每年有处理费调整，以及餐厨垃圾收运提优率提升和uco售价均价上涨，今年该业务将为公司带来进一步利润贡献，并助力公司产业链上下游协同互补。</w:t>
      </w:r>
    </w:p>
    <w:p>
      <w:r>
        <w:rPr>
          <w:rFonts w:ascii="等线(中文正文)" w:hAnsi="等线(中文正文)" w:cs="等线(中文正文)" w:eastAsia="等线(中文正文)"/>
          <w:b w:val="false"/>
          <w:i w:val="false"/>
          <w:sz w:val="20"/>
        </w:rPr>
        <w:t/>
      </w:r>
    </w:p>
    <w:p>
      <w:pPr>
        <w:pStyle w:val="ab"/>
      </w:pPr>
      <w:r>
        <w:t>军信股份在垃圾焚烧与AIDC协同方面有何发展潜力？</w:t>
      </w:r>
    </w:p>
    <w:p>
      <w:r>
        <w:rPr>
          <w:rFonts w:ascii="等线(中文正文)" w:hAnsi="等线(中文正文)" w:cs="等线(中文正文)" w:eastAsia="等线(中文正文)"/>
          <w:b w:val="false"/>
          <w:i w:val="false"/>
          <w:sz w:val="20"/>
        </w:rPr>
        <w:t>发言人1：军信股份在垃圾焚烧和AIDC协同上具有极大的发展潜力。长沙现有的项目适配垃圾焚烧和AIDC协同，尤其是2026年4月新中标长沙三期项目，设计规模为4000吨每日。此外，公司在海外中亚项目的未来规划有望构建垃圾焚烧发电、蒸汽供热及算力服务一体化项目模式，无论是国内还是海外项目，都具备推进垃圾焚烧与AIDC协同的潜能。</w:t>
      </w:r>
    </w:p>
    <w:p>
      <w:r>
        <w:rPr>
          <w:rFonts w:ascii="等线(中文正文)" w:hAnsi="等线(中文正文)" w:cs="等线(中文正文)" w:eastAsia="等线(中文正文)"/>
          <w:b w:val="false"/>
          <w:i w:val="false"/>
          <w:sz w:val="20"/>
        </w:rPr>
        <w:t/>
      </w:r>
    </w:p>
    <w:p>
      <w:pPr>
        <w:pStyle w:val="ab"/>
      </w:pPr>
      <w:r>
        <w:t>军信股份的现金流状况和分红情况如何？</w:t>
      </w:r>
    </w:p>
    <w:p>
      <w:r>
        <w:rPr>
          <w:rFonts w:ascii="等线(中文正文)" w:hAnsi="等线(中文正文)" w:cs="等线(中文正文)" w:eastAsia="等线(中文正文)"/>
          <w:b w:val="false"/>
          <w:i w:val="false"/>
          <w:sz w:val="20"/>
        </w:rPr>
        <w:t>发言人1：军信股份现金流表现优秀，从2019年至2025年经营现金流稳健提升，2025年近期现金流净额达到17亿元，自由现金流在2022年实现转正，并持续增厚，在2025年达到11亿元。在分红方面，2023年至2025年公司的分红比例均在70%以上，累计分红总额超过13亿元。基于当前经营性现金流情况和优厚的现金流状况，公司未来仍有望维持高分红策略。</w:t>
      </w:r>
    </w:p>
    <w:p>
      <w:r>
        <w:rPr>
          <w:rFonts w:ascii="等线(中文正文)" w:hAnsi="等线(中文正文)" w:cs="等线(中文正文)" w:eastAsia="等线(中文正文)"/>
          <w:b w:val="false"/>
          <w:i w:val="false"/>
          <w:sz w:val="20"/>
        </w:rPr>
        <w:t/>
      </w:r>
    </w:p>
    <w:p>
      <w:pPr>
        <w:pStyle w:val="ab"/>
      </w:pPr>
      <w:r>
        <w:t>军信股份的整体成长性和估值情况如何？</w:t>
      </w:r>
    </w:p>
    <w:p>
      <w:r>
        <w:rPr>
          <w:rFonts w:ascii="等线(中文正文)" w:hAnsi="等线(中文正文)" w:cs="等线(中文正文)" w:eastAsia="等线(中文正文)"/>
          <w:b w:val="false"/>
          <w:i w:val="false"/>
          <w:sz w:val="20"/>
        </w:rPr>
        <w:t>发言人1：军信股份受益于长沙区位优势，主业垃圾量强劲增长，国内项目不断提质增效，国外比斯凯克项目将在2026年带来利润贡献，同时人和子公司因提油率提升和有口涨价也会增加利润。此外，公司现金流优质且持续增厚，能支撑未来高分红。目前，公司在对应2026年和2027年的PE分别为12倍和11倍，维持推荐评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2026-08-05T14:35:02Z</dcterms:created>
  <dc:creator>Apache POI</dc:creator>
</cp:coreProperties>
</file>