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东吴环保公用 - 军信股份：长沙固废一体化龙头，海外布局加速 260805_原文</w:t>
      </w:r>
    </w:p>
    <w:p>
      <w:pPr>
        <w:jc w:val="center"/>
      </w:pPr>
      <w:r>
        <w:rPr>
          <w:rFonts w:ascii="等线(中文正文)" w:hAnsi="等线(中文正文)" w:cs="等线(中文正文)" w:eastAsia="等线(中文正文)"/>
          <w:b w:val="false"/>
          <w:i w:val="false"/>
          <w:sz w:val="20"/>
        </w:rPr>
        <w:t>2026年08月05日 22:30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东环保的田园。今天由我来为各位领导介绍一下军信股份这家公司的情况。我先简单的对公司整个基本面做一个简介，主要还是基于公司的试点成长性以及优质的现金流情况进行展开说明。公司的话是湖南省的固定龙头，地处长沙，也是具备长沙这个优质的区域的优势。公司目前的这个产能的话主要分国内国外以及24年收购的人和环境这么一个产业链上的，生生活垃圾中转和餐厨收运特许经营权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00:51</w:t>
      </w:r>
    </w:p>
    <w:p>
      <w:r>
        <w:rPr>
          <w:rFonts w:ascii="等线(中文正文)" w:hAnsi="等线(中文正文)" w:cs="等线(中文正文)" w:eastAsia="等线(中文正文)"/>
          <w:b w:val="false"/>
          <w:i w:val="false"/>
          <w:sz w:val="20"/>
        </w:rPr>
        <w:t>国内的项目的话，目前已投运11.1 8万吨，每日的一个规模。其中包括长沙19727以及长沙之外的平江浏阳项目，没有投运或者说还没有在建的，目前是26年4月中标的长沙河西长沙三期项目，这个项目的规模是4000吨每日。那在海外的话，公司主要是在中亚布局，目前在建筹建以及已投运，总共是9000吨每日的一个规模。除此之外公司在24年的24年底的时候，收购了湖南的人和环境63%的股权。这个也是在产业链上游去进行一些一些延伸，里面主要包含生活垃圾中转以及餐厨收运两块业务。公司的话也是因为地处长沙，受益这个优势历史它的多向往是稳居行业第一的。25年的吨上网高达486度每吨，比同业的公司的均值比9家同业公司的均值还高出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同时如果我们从电价来看的话，因为湖南的标杆电价0.45元每度，也是位居全国第二，比全国的这个水平均水平是0.37元，也是明显的一个高出。公司也是受益于这样高端上网和高电价的一个情况，整个盈利能力是显著领先的。在25年的时候，平均ROE达到了9.8%，同比是有0.9 percent的一个提升。基于此的话，我们也首先想从公司以长沙的这个优质固废资产为基础。无论是内生的增长还是外的拓展，公司都是具备很强的一个成长性。第一点的话，我们还是从国内的这个产能说起，国内的这个产能公司也是随着除长沙一期、二期分别在18年、21年投入之外，随着这两年平江浏阳的这个新项目的建成投产，这在湖南省内的一个优势也是进一步的要去扩大。一方面垃圾量具备强劲提升的这么一个情况。另外的话国内的这种存量项目也是在不断的提质增效，包括两个新项目的一个爬坡，都会让公司的国内垃圾焚烧资产的主业业绩上出现一个进一步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w:t>
      </w:r>
    </w:p>
    <w:p>
      <w:r>
        <w:rPr>
          <w:rFonts w:ascii="等线(中文正文)" w:hAnsi="等线(中文正文)" w:cs="等线(中文正文)" w:eastAsia="等线(中文正文)"/>
          <w:b w:val="false"/>
          <w:i w:val="false"/>
          <w:sz w:val="20"/>
        </w:rPr>
        <w:t>第21个点，我们来讲海外这一块。公司在积极拓展海外市场的主要是位于中亚。目前中亚一共四个项目，整一个规模，刚刚也简单介绍了是9000吨每日这么一个情况。在25年12月的时候，第一个项目比斯凯克一期有1000吨每日的一个规模已经投运。所以这个项目在26年也会对公司给公司带来一个全年的一个利润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04:25</w:t>
      </w:r>
    </w:p>
    <w:p>
      <w:r>
        <w:rPr>
          <w:rFonts w:ascii="等线(中文正文)" w:hAnsi="等线(中文正文)" w:cs="等线(中文正文)" w:eastAsia="等线(中文正文)"/>
          <w:b w:val="false"/>
          <w:i w:val="false"/>
          <w:sz w:val="20"/>
        </w:rPr>
        <w:t>第31个点，我们说并购的这个人和环境子公司。请关注公众号思维纪要社，更多纪要请加V西安20210130。是那这个公司是公司24年底去收购的，目前是63%的股权。并且当时也是签订了这个对赌协议这个子公司主要是，有两块特许经营权，一块是生活垃圾的中转处理，那一块是餐厨垃圾收运。基于这两块业务的一个良好的经营情况，比如生活垃圾中转处理其实每年会有处理费的调整，然后餐厨垃圾收运这一块儿，一方面提优率在不断提升，另一方面这个uco的价格，就是优口售价的均价也是有提升。所以我们今年因为这一块业务也是会为公司带来进一步的利润贡献，并且也是整体上帮助公司从垃圾焚烧逐渐的实现产业链整个上下游的一个协同互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05:36</w:t>
      </w:r>
    </w:p>
    <w:p>
      <w:r>
        <w:rPr>
          <w:rFonts w:ascii="等线(中文正文)" w:hAnsi="等线(中文正文)" w:cs="等线(中文正文)" w:eastAsia="等线(中文正文)"/>
          <w:b w:val="false"/>
          <w:i w:val="false"/>
          <w:sz w:val="20"/>
        </w:rPr>
        <w:t>然后第41个点是我们认为军信股份在垃圾焚烧和AIDC协同上面依然是具备极大的发展潜力。一方面公司目前长沙的项目其实都是适配去做这个垃圾焚烧和AIDC协同的。除了一期项二期都是大项目之外，26年4月公司新中标了这个长沙三期项目。刚刚也有提到，设计规模其实是高，有4000吨每日也是大项目。之前一期二期公司的项目合作方曾经有建设上海的浦发环保黎明自算中心。也就是说当时的合作方其实是有这么一个垃圾焚烧和AIDC协同的落地经验。所以如果公司未来想要去推动垃圾焚烧和AIDC协作的话，那在这种经验方面其实已经具备比较显著的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06:38</w:t>
      </w:r>
    </w:p>
    <w:p>
      <w:r>
        <w:rPr>
          <w:rFonts w:ascii="等线(中文正文)" w:hAnsi="等线(中文正文)" w:cs="等线(中文正文)" w:eastAsia="等线(中文正文)"/>
          <w:b w:val="false"/>
          <w:i w:val="false"/>
          <w:sz w:val="20"/>
        </w:rPr>
        <w:t>然后另一方面公司在海外去布局的这些中亚项目，其实在未来都会有望去构建像垃圾焚烧烧发电加蒸汽供热加算力服务这种一体化的项目模式。所以无论是国内的项目来说，还是海外的项目来看，未来都是有这种去做来焚烧再加AIDC协同的这种这种潜能。所以基于以上的四个点的成长的话，我们觉得公司在受益于湖南长沙的优势。首先主业垃圾量强劲增长，然后国内的项目不断在提效爬坡，以及子公司的人和环境受益于提油率有口涨价。海外的比斯凯克项目贡献，包括伴随着未来海外项目逐步落地，我们认为公司在成长方面是具备很强的一个成长的权力，或者说成长对这个利润上的贡献会逐渐的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07:48</w:t>
      </w:r>
    </w:p>
    <w:p>
      <w:r>
        <w:rPr>
          <w:rFonts w:ascii="等线(中文正文)" w:hAnsi="等线(中文正文)" w:cs="等线(中文正文)" w:eastAsia="等线(中文正文)"/>
          <w:b w:val="false"/>
          <w:i w:val="false"/>
          <w:sz w:val="20"/>
        </w:rPr>
        <w:t>然后我们再回到这个垃圾焚烧红利标的的最基础的属性，就是说我们从现金流和这个分红情况下来讲，公司整一个现金流情况表现是非常好的，从19到25年这个经营现金流都是稳健提升。然后我们看到到25年的时候，整个公司的近期现金流净额已经达到17亿元。那自由现金流方面的话，其实在22年已经实现转正了，也是这几年也是持续的增厚。在25年的时候自由现金流是实现11亿元，比24年这个呃5000万出现一个极其大的明显的提升。我们从落实到分红看的话，23到25年公司的这个分红比例都在70%以上，分别是72%、95%和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08:48</w:t>
      </w:r>
    </w:p>
    <w:p>
      <w:r>
        <w:rPr>
          <w:rFonts w:ascii="等线(中文正文)" w:hAnsi="等线(中文正文)" w:cs="等线(中文正文)" w:eastAsia="等线(中文正文)"/>
          <w:b w:val="false"/>
          <w:i w:val="false"/>
          <w:sz w:val="20"/>
        </w:rPr>
        <w:t>整个累计的分红总额也是超过了13亿元。所以我们觉得以公司现在的这个经营性的现金流情况，这个优厚的现金流情况的话，未来依然能够支撑公司去做一个高分红。基于我们刚刚从公司的这个成长性和现金流情况来讲的话，我们认为公司在目前的从在估值情况下，以目前的市值看，我们觉得在这对应到26年和27年的PE是12倍和11倍。那我们也是进一步的去维持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最后总结一下，公司是受益于长沙的区位优势，主页垃圾量会有一个强势的增长，国内的项目也在不断的提质增效，以及新投产的浏阳平江项目的爬坡。第二点就是海外的比斯凯克1000吨在26年会出现一个全利润的贡献。以及第三点，人和子公司受益于提油率有口涨价，对公司的利润贡献会进一步的提升。以上是三个我们觉得目前已经可以明显对应到业绩上的成长性。如果再看成长潜能的话，来自焚烧和AIMBC的协同公司，无论是国内的项目还是未来去看海外的项目，其实都是有望去推进这个事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10:36</w:t>
      </w:r>
    </w:p>
    <w:p>
      <w:r>
        <w:rPr>
          <w:rFonts w:ascii="等线(中文正文)" w:hAnsi="等线(中文正文)" w:cs="等线(中文正文)" w:eastAsia="等线(中文正文)"/>
          <w:b w:val="false"/>
          <w:i w:val="false"/>
          <w:sz w:val="20"/>
        </w:rPr>
        <w:t>最后我们再回到这个公司的现金流，现金流是非常的优质，也是在持续的增厚，能够支撑未来公司继续去做一个高分红。所以无论是基于成长性，还是目前公司已经比较高的这个分红角度看，在现在这个阶段，我觉得都非常的推荐，大家能够去多多关注这支票。如果后面各位领导有任何需求，包括资料，包括进一步的一些解释的话，欢迎随时联系我们东吴环保团队。今天的话我们就到这边结束，感谢各位领导说。</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2026-08-05T14:35:02Z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E6636BB100BBAFBB4581D91E6DDB80246B04BE5C43FDD765CABB463F44DFE50ABEFB9DEC4054E0D4A81977AFCC1F40CC276CC4C3E95B289053CD0C765202CEB47338935</vt:lpwstr>
  </property>
</Properties>
</file>