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富国基金 反弹OR反转，科技何去何从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科技股 调整 跌幅 空间维度 时间维度 杠杆资金 两融 成交占比 换手率 股权风险溢价 产业逻辑 主线 牛市 拥挤度 反弹 持续性 A股 美股 韩国市场 电子行业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近期市场讨论聚焦于A股、韩国及美股科技股的调整情况。策略分析师指出，硬科技方向回调幅度巨大，调整空间相对充分，但时间维度上的市场震荡分化表明调整可能未完全结束。通过对比历史成长主线行情，当前调整深度已足，但需时间完成。科技股未来走势受市场情绪、产业逻辑、资金流向及业绩表现影响，AI产业逻辑坚挺，资本开支和业务变现能力强劲。建议投资者采取均衡配置策略，关注自由现金流健康，在市场调整中逐步建仓。对于已持有者，保持耐心，分散投资以减少风险，包括配置防御性资产。强调投资者应关注科技股实质性进展、产业逻辑兑现及市场情绪变化，保持理性、耐心和均衡配置，持续关注科技趋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科技股回调分析与应对策略</w:t>
      </w:r>
    </w:p>
    <w:p>
      <w:r>
        <w:rPr>
          <w:rFonts w:ascii="等线(中文正文)" w:hAnsi="等线(中文正文)" w:cs="等线(中文正文)" w:eastAsia="等线(中文正文)"/>
          <w:b w:val="false"/>
          <w:i w:val="false"/>
          <w:sz w:val="20"/>
        </w:rPr>
        <w:t>主持人介绍了近期科技股，尤其是硬科技领域的大调整，邀请策略分析师分享回调幅度及应对策略，解答观众投资疑问，强调科技行情分析及投资者应对此类市场变化的方法。</w:t>
      </w:r>
    </w:p>
    <w:p>
      <w:r>
        <w:rPr>
          <w:rFonts w:ascii="等线(中文正文)" w:hAnsi="等线(中文正文)" w:cs="等线(中文正文)" w:eastAsia="等线(中文正文)"/>
          <w:b w:val="false"/>
          <w:i w:val="false"/>
          <w:sz w:val="20"/>
        </w:rPr>
        <w:t/>
      </w:r>
    </w:p>
    <w:p>
      <w:pPr>
        <w:pStyle w:val="ab"/>
        <w:numPr>
          <w:numId w:val="2"/>
        </w:numPr>
      </w:pPr>
      <w:r>
        <w:t>01:32 科技股调整分析：空间充分但时间尚需</w:t>
      </w:r>
    </w:p>
    <w:p>
      <w:r>
        <w:rPr>
          <w:rFonts w:ascii="等线(中文正文)" w:hAnsi="等线(中文正文)" w:cs="等线(中文正文)" w:eastAsia="等线(中文正文)"/>
          <w:b w:val="false"/>
          <w:i w:val="false"/>
          <w:sz w:val="20"/>
        </w:rPr>
        <w:t>对话深入探讨了当前科技股调整的深度与广度，指出本轮调整已超过历史成长主线调整极值，空间上调整充分，但时间上仍需进一步震荡筑底。通过复盘过去三轮成长主线行情，总结出调整是常态，产业逻辑决定牛市主线调整的关键。当前科技股调整幅度已显著，但时间维度上仍有差距，市场需时间反复震荡，分化筑底，而非直接反转。</w:t>
      </w:r>
    </w:p>
    <w:p>
      <w:r>
        <w:rPr>
          <w:rFonts w:ascii="等线(中文正文)" w:hAnsi="等线(中文正文)" w:cs="等线(中文正文)" w:eastAsia="等线(中文正文)"/>
          <w:b w:val="false"/>
          <w:i w:val="false"/>
          <w:sz w:val="20"/>
        </w:rPr>
        <w:t/>
      </w:r>
    </w:p>
    <w:p>
      <w:pPr>
        <w:pStyle w:val="ab"/>
        <w:numPr>
          <w:numId w:val="3"/>
        </w:numPr>
      </w:pPr>
      <w:r>
        <w:t>09:05 科技股回调与反弹：市场趋势分析</w:t>
      </w:r>
    </w:p>
    <w:p>
      <w:r>
        <w:rPr>
          <w:rFonts w:ascii="等线(中文正文)" w:hAnsi="等线(中文正文)" w:cs="等线(中文正文)" w:eastAsia="等线(中文正文)"/>
          <w:b w:val="false"/>
          <w:i w:val="false"/>
          <w:sz w:val="20"/>
        </w:rPr>
        <w:t>讨论了科技股近期的回调与反弹现象，分析认为超跌后的反弹是正常现象，但持续上涨需资金与业绩支撑。杠杆资金的出清是市场企稳的前提，核心资产止跌后市场可能迎来更稳定的行情。</w:t>
      </w:r>
    </w:p>
    <w:p>
      <w:r>
        <w:rPr>
          <w:rFonts w:ascii="等线(中文正文)" w:hAnsi="等线(中文正文)" w:cs="等线(中文正文)" w:eastAsia="等线(中文正文)"/>
          <w:b w:val="false"/>
          <w:i w:val="false"/>
          <w:sz w:val="20"/>
        </w:rPr>
        <w:t/>
      </w:r>
    </w:p>
    <w:p>
      <w:pPr>
        <w:pStyle w:val="ab"/>
        <w:numPr>
          <w:numId w:val="4"/>
        </w:numPr>
      </w:pPr>
      <w:r>
        <w:t>12:52 科技股交易拥挤度与市场反弹分析</w:t>
      </w:r>
    </w:p>
    <w:p>
      <w:r>
        <w:rPr>
          <w:rFonts w:ascii="等线(中文正文)" w:hAnsi="等线(中文正文)" w:cs="等线(中文正文)" w:eastAsia="等线(中文正文)"/>
          <w:b w:val="false"/>
          <w:i w:val="false"/>
          <w:sz w:val="20"/>
        </w:rPr>
        <w:t>讨论了科技股交易拥挤度的回落及其对市场反弹基础的影响，指出尽管拥挤度有所下降，但仍未达到健康水平，需继续观察。同时，股权风险溢价回升至五年中位数，表明股票市场性价比回归合理区间，但未达极端恐慌定价，市场短期可能延续时间换空间的态势。最后，强调AI产业逻辑的真伪验证是判断新一轮行情的关键。</w:t>
      </w:r>
    </w:p>
    <w:p>
      <w:r>
        <w:rPr>
          <w:rFonts w:ascii="等线(中文正文)" w:hAnsi="等线(中文正文)" w:cs="等线(中文正文)" w:eastAsia="等线(中文正文)"/>
          <w:b w:val="false"/>
          <w:i w:val="false"/>
          <w:sz w:val="20"/>
        </w:rPr>
        <w:t/>
      </w:r>
    </w:p>
    <w:p>
      <w:pPr>
        <w:pStyle w:val="ab"/>
        <w:numPr>
          <w:numId w:val="5"/>
        </w:numPr>
      </w:pPr>
      <w:r>
        <w:t>17:57 电子与通信行业两融余额大幅调整，市场再平衡进行中</w:t>
      </w:r>
    </w:p>
    <w:p>
      <w:r>
        <w:rPr>
          <w:rFonts w:ascii="等线(中文正文)" w:hAnsi="等线(中文正文)" w:cs="等线(中文正文)" w:eastAsia="等线(中文正文)"/>
          <w:b w:val="false"/>
          <w:i w:val="false"/>
          <w:sz w:val="20"/>
        </w:rPr>
        <w:t>对话讨论了电子和通信行业两融余额的显著变化，指出电子行业两融余额从约7000亿降至约1600亿，通信行业从约2000亿降至约500亿，显示资金从这两个行业流出，市场正经历再平衡。整体来看，此次调整幅度大，但相较于历史和国际比较，当前杠杆水平风险可控，市场调整可能已过最艰难时期。</w:t>
      </w:r>
    </w:p>
    <w:p>
      <w:r>
        <w:rPr>
          <w:rFonts w:ascii="等线(中文正文)" w:hAnsi="等线(中文正文)" w:cs="等线(中文正文)" w:eastAsia="等线(中文正文)"/>
          <w:b w:val="false"/>
          <w:i w:val="false"/>
          <w:sz w:val="20"/>
        </w:rPr>
        <w:t/>
      </w:r>
    </w:p>
    <w:p>
      <w:pPr>
        <w:pStyle w:val="ab"/>
        <w:numPr>
          <w:numId w:val="6"/>
        </w:numPr>
      </w:pPr>
      <w:r>
        <w:t>22:03 科技板块拥挤度与换手率分析及市场调整</w:t>
      </w:r>
    </w:p>
    <w:p>
      <w:r>
        <w:rPr>
          <w:rFonts w:ascii="等线(中文正文)" w:hAnsi="等线(中文正文)" w:cs="等线(中文正文)" w:eastAsia="等线(中文正文)"/>
          <w:b w:val="false"/>
          <w:i w:val="false"/>
          <w:sz w:val="20"/>
        </w:rPr>
        <w:t>讨论了电子和通信行业在六月份极端行情中的拥挤度显著上升，分别达到35%和15%，随后在七月调整中有所回落，但仍处于高位。同时，电子和通信行业的换手率在极端行情中分别达到7%和接近4%，显示出交易活跃，目前电子行业换手率已回落至4%，而通信行业已回归健康区间。整体来看，经过调整，市场风险得到一定程度释放，但电子板块的调整仍不充分。</w:t>
      </w:r>
    </w:p>
    <w:p>
      <w:r>
        <w:rPr>
          <w:rFonts w:ascii="等线(中文正文)" w:hAnsi="等线(中文正文)" w:cs="等线(中文正文)" w:eastAsia="等线(中文正文)"/>
          <w:b w:val="false"/>
          <w:i w:val="false"/>
          <w:sz w:val="20"/>
        </w:rPr>
        <w:t/>
      </w:r>
    </w:p>
    <w:p>
      <w:pPr>
        <w:pStyle w:val="ab"/>
        <w:numPr>
          <w:numId w:val="7"/>
        </w:numPr>
      </w:pPr>
      <w:r>
        <w:t>28:21 股权风险溢价与投资策略</w:t>
      </w:r>
    </w:p>
    <w:p>
      <w:r>
        <w:rPr>
          <w:rFonts w:ascii="等线(中文正文)" w:hAnsi="等线(中文正文)" w:cs="等线(中文正文)" w:eastAsia="等线(中文正文)"/>
          <w:b w:val="false"/>
          <w:i w:val="false"/>
          <w:sz w:val="20"/>
        </w:rPr>
        <w:t>股权风险溢价指标被讨论为指导资产配置的重要参考，特别是沪深300的溢价水平。短期投资者在高溢价时可能获得高回报，但需警惕高位风险；长期投资者则应关注中等水平溢价的合理配置价值。历史数据显示，1415年及1920年行情中，高溢价预示股市高性价比，但高位后可能伴随回落。当前市场处于历史中位数水平，建议投资者关注整体市场及行业特征，以判断投资机会。</w:t>
      </w:r>
    </w:p>
    <w:p>
      <w:r>
        <w:rPr>
          <w:rFonts w:ascii="等线(中文正文)" w:hAnsi="等线(中文正文)" w:cs="等线(中文正文)" w:eastAsia="等线(中文正文)"/>
          <w:b w:val="false"/>
          <w:i w:val="false"/>
          <w:sz w:val="20"/>
        </w:rPr>
        <w:t/>
      </w:r>
    </w:p>
    <w:p>
      <w:pPr>
        <w:pStyle w:val="ab"/>
        <w:numPr>
          <w:numId w:val="8"/>
        </w:numPr>
      </w:pPr>
      <w:r>
        <w:t>33:13 AI产业逻辑分析：业绩超预期与资本开支的确定性</w:t>
      </w:r>
    </w:p>
    <w:p>
      <w:r>
        <w:rPr>
          <w:rFonts w:ascii="等线(中文正文)" w:hAnsi="等线(中文正文)" w:cs="等线(中文正文)" w:eastAsia="等线(中文正文)"/>
          <w:b w:val="false"/>
          <w:i w:val="false"/>
          <w:sz w:val="20"/>
        </w:rPr>
        <w:t>讨论了AI产业逻辑的延续性，指出尽管市场曾担忧业绩不及预期，但实际财报显示AI回报大超预期，云厂商的资本开支和积压订单均保持高增长，大模型公司的创收模式稳定，证明AI产业逻辑依旧坚实，闭环运转良好。</w:t>
      </w:r>
    </w:p>
    <w:p>
      <w:r>
        <w:rPr>
          <w:rFonts w:ascii="等线(中文正文)" w:hAnsi="等线(中文正文)" w:cs="等线(中文正文)" w:eastAsia="等线(中文正文)"/>
          <w:b w:val="false"/>
          <w:i w:val="false"/>
          <w:sz w:val="20"/>
        </w:rPr>
        <w:t/>
      </w:r>
    </w:p>
    <w:p>
      <w:pPr>
        <w:pStyle w:val="ab"/>
        <w:numPr>
          <w:numId w:val="9"/>
        </w:numPr>
      </w:pPr>
      <w:r>
        <w:t>38:58 AI产业资本开支与硬件市场趋势分析</w:t>
      </w:r>
    </w:p>
    <w:p>
      <w:r>
        <w:rPr>
          <w:rFonts w:ascii="等线(中文正文)" w:hAnsi="等线(中文正文)" w:cs="等线(中文正文)" w:eastAsia="等线(中文正文)"/>
          <w:b w:val="false"/>
          <w:i w:val="false"/>
          <w:sz w:val="20"/>
        </w:rPr>
        <w:t>对话探讨了未来AI产业的资本开支趋势，指出云厂商如谷歌、亚马逊、微软等计划持续增加资本投入，目标2026年总投入达7450亿美元。市场关注点从资本开支的持续性转向其回报能力，尤其是自由现金流状况。尽管资本开支强劲，但硬件市场行情并未因此持续高涨，投资者开始质疑资本开支的长期支撑力及AI产业的变现能力，硬件厂商需证明其业务增长能够匹配资本投入。</w:t>
      </w:r>
    </w:p>
    <w:p>
      <w:r>
        <w:rPr>
          <w:rFonts w:ascii="等线(中文正文)" w:hAnsi="等线(中文正文)" w:cs="等线(中文正文)" w:eastAsia="等线(中文正文)"/>
          <w:b w:val="false"/>
          <w:i w:val="false"/>
          <w:sz w:val="20"/>
        </w:rPr>
        <w:t/>
      </w:r>
    </w:p>
    <w:p>
      <w:pPr>
        <w:pStyle w:val="ab"/>
        <w:numPr>
          <w:numId w:val="10"/>
        </w:numPr>
      </w:pPr>
      <w:r>
        <w:t>45:38 港股软件端上涨逻辑与自由现金流指标分析</w:t>
      </w:r>
    </w:p>
    <w:p>
      <w:r>
        <w:rPr>
          <w:rFonts w:ascii="等线(中文正文)" w:hAnsi="等线(中文正文)" w:cs="等线(中文正文)" w:eastAsia="等线(中文正文)"/>
          <w:b w:val="false"/>
          <w:i w:val="false"/>
          <w:sz w:val="20"/>
        </w:rPr>
        <w:t>对话讨论了港股市场软件端近期上涨的原因，包括前期抗压后的性价比提升及下游业绩兑现对AI产业闭环的重要性。强调自由现金流作为验证AI产业发展趋势的关键指标，健康的自由现金流反映企业变现能力和业务支撑资本开支的能力，对投资者判断企业前景至关重要。</w:t>
      </w:r>
    </w:p>
    <w:p>
      <w:r>
        <w:rPr>
          <w:rFonts w:ascii="等线(中文正文)" w:hAnsi="等线(中文正文)" w:cs="等线(中文正文)" w:eastAsia="等线(中文正文)"/>
          <w:b w:val="false"/>
          <w:i w:val="false"/>
          <w:sz w:val="20"/>
        </w:rPr>
        <w:t/>
      </w:r>
    </w:p>
    <w:p>
      <w:pPr>
        <w:pStyle w:val="ab"/>
        <w:numPr>
          <w:numId w:val="11"/>
        </w:numPr>
      </w:pPr>
      <w:r>
        <w:t>51:00 AI行情调整期的应对策略与配置建议</w:t>
      </w:r>
    </w:p>
    <w:p>
      <w:r>
        <w:rPr>
          <w:rFonts w:ascii="等线(中文正文)" w:hAnsi="等线(中文正文)" w:cs="等线(中文正文)" w:eastAsia="等线(中文正文)"/>
          <w:b w:val="false"/>
          <w:i w:val="false"/>
          <w:sz w:val="20"/>
        </w:rPr>
        <w:t>对话讨论了AI行情调整期间投资者应采取的策略，建议通过均衡配置减少亏损感，关注AI硬件端的高景气度机会，同时对港股软件端保持观察，强调在调整中保持耐心并逢低建仓以把握未来主线。</w:t>
      </w:r>
    </w:p>
    <w:p>
      <w:r>
        <w:rPr>
          <w:rFonts w:ascii="等线(中文正文)" w:hAnsi="等线(中文正文)" w:cs="等线(中文正文)" w:eastAsia="等线(中文正文)"/>
          <w:b w:val="false"/>
          <w:i w:val="false"/>
          <w:sz w:val="20"/>
        </w:rPr>
        <w:t/>
      </w:r>
    </w:p>
    <w:p>
      <w:pPr>
        <w:pStyle w:val="ab"/>
        <w:numPr>
          <w:numId w:val="12"/>
        </w:numPr>
      </w:pPr>
      <w:r>
        <w:t>55:35 科技回调后的防御配置与市场展望</w:t>
      </w:r>
    </w:p>
    <w:p>
      <w:r>
        <w:rPr>
          <w:rFonts w:ascii="等线(中文正文)" w:hAnsi="等线(中文正文)" w:cs="等线(中文正文)" w:eastAsia="等线(中文正文)"/>
          <w:b w:val="false"/>
          <w:i w:val="false"/>
          <w:sz w:val="20"/>
        </w:rPr>
        <w:t>面对科技主线波动，建议结合防御类资产如红利低波、债券基金和大盘宽基指数进行布局，以平衡风险与收益。科技回调虽带来短期挑战，但长期趋势未变，市场有望迎来新一轮反弹，投资者应保持耐心，适时调整策略应对市场变化。</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她，即主持人微微姐，在直播中首先概述了近期A股市场、韩国市场以及美股的总体情况，特别关注于科技股的大幅调整。她指出，由于许多投资者可能在科技股上涨时追高，目前正面临持仓亏损的情况。为此，她邀请策略分析师于佳老师共同讨论科技股的当前行情，并分享应对策略。
微微姐强调，虽然科技股近期经历了大幅度的调整，但历史数据表明，这一调整幅度已超过以往的成长主线级别的调整极值，暗示调整空间可能已相当充分。然而，时间维度上，市场可能仍需更多时间去震荡、分化并筑底。通过复盘三轮成长主线行情，她指出调整是常态，关键在于产业逻辑未变，每次深度调整后都蕴藏着新的机会。
面对市场的大幅波动，微微姐建议投资者采取均衡配置的方式，不仅限于科技股，还应考虑配置防御性资产如红利低波、债券基金和大盘宽基指数基金，以减少风险并提高持有体验。她强调，在当前市场环境下，科技主线的布局仍值得考虑，适当防御类资产的配置可以让整体投资组合更加稳健。
通过本次直播，微微姐不仅深入分析了科技股的现状和未来的潜在机会，还为投资者提供了实用的策略建议，帮助投资者应对市场的波动。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问：最近科技股出现了一个较大的回调，我们先请于佳老师跟大家分享一下，整个科技股到底是一个什么样的回调幅度？</w:t>
      </w:r>
    </w:p>
    <w:p>
      <w:r>
        <w:rPr>
          <w:rFonts w:ascii="等线(中文正文)" w:hAnsi="等线(中文正文)" w:cs="等线(中文正文)" w:eastAsia="等线(中文正文)"/>
          <w:b w:val="false"/>
          <w:i w:val="false"/>
          <w:sz w:val="20"/>
        </w:rPr>
        <w:t>发言人1 答：从调整的幅度来看，目前本轮科技股调整已经超越了历史上所有成长主线级别的调整极值。空间维度上，市场已经调整得比较充分，但从调整时间上看，还需要市场反复震荡、分化筑底，目前可能还缺一点火候。</w:t>
      </w:r>
    </w:p>
    <w:p>
      <w:r>
        <w:rPr>
          <w:rFonts w:ascii="等线(中文正文)" w:hAnsi="等线(中文正文)" w:cs="等线(中文正文)" w:eastAsia="等线(中文正文)"/>
          <w:b w:val="false"/>
          <w:i w:val="false"/>
          <w:sz w:val="20"/>
        </w:rPr>
        <w:t/>
      </w:r>
    </w:p>
    <w:p>
      <w:pPr>
        <w:pStyle w:val="ab"/>
      </w:pPr>
      <w:r>
        <w:t>发言人1 问：在历史上的几轮成长主线行情中，我们的这轮科技股回调的幅度处于什么水平？</w:t>
      </w:r>
    </w:p>
    <w:p>
      <w:r>
        <w:rPr>
          <w:rFonts w:ascii="等线(中文正文)" w:hAnsi="等线(中文正文)" w:cs="等线(中文正文)" w:eastAsia="等线(中文正文)"/>
          <w:b w:val="false"/>
          <w:i w:val="false"/>
          <w:sz w:val="20"/>
        </w:rPr>
        <w:t>发言人1 答：将当前回调与过去三轮成长主线行情（TMT、新能源、AI）对比，这轮科技股回调的空间幅度远超过去每次调整级别，但时间维度上，相比历史均值（31个交易日），目前的26个交易日还略短一些，意味着市场可能还需更多时间去震荡分化筑底。</w:t>
      </w:r>
    </w:p>
    <w:p>
      <w:r>
        <w:rPr>
          <w:rFonts w:ascii="等线(中文正文)" w:hAnsi="等线(中文正文)" w:cs="等线(中文正文)" w:eastAsia="等线(中文正文)"/>
          <w:b w:val="false"/>
          <w:i w:val="false"/>
          <w:sz w:val="20"/>
        </w:rPr>
        <w:t/>
      </w:r>
    </w:p>
    <w:p>
      <w:pPr>
        <w:pStyle w:val="ab"/>
      </w:pPr>
      <w:r>
        <w:t>发言人1 问：现在市场上大家很关心的问题是，科技回调是产业趋势变坏还是暂时的反弹机会？上周五科技股出现了一个比较大幅的反弹，这是反转吗？</w:t>
      </w:r>
    </w:p>
    <w:p>
      <w:r>
        <w:rPr>
          <w:rFonts w:ascii="等线(中文正文)" w:hAnsi="等线(中文正文)" w:cs="等线(中文正文)" w:eastAsia="等线(中文正文)"/>
          <w:b w:val="false"/>
          <w:i w:val="false"/>
          <w:sz w:val="20"/>
        </w:rPr>
        <w:t>发言人1 答：超跌之后通常会有反弹机会，但超跌反弹并不等同于行情重新走强。历史上统计，创业板大跌超过5%时，通常会有超跌反弹，但这仅需满足下跌速度快、急促的条件。要判断行情能否持续，关键要看是否有资金接住反弹，并且业绩方面也需要有支撑。</w:t>
      </w:r>
    </w:p>
    <w:p>
      <w:r>
        <w:rPr>
          <w:rFonts w:ascii="等线(中文正文)" w:hAnsi="等线(中文正文)" w:cs="等线(中文正文)" w:eastAsia="等线(中文正文)"/>
          <w:b w:val="false"/>
          <w:i w:val="false"/>
          <w:sz w:val="20"/>
        </w:rPr>
        <w:t/>
      </w:r>
    </w:p>
    <w:p>
      <w:pPr>
        <w:pStyle w:val="ab"/>
      </w:pPr>
      <w:r>
        <w:t>发言人1 问：在这一波行情中，杠杆资金是否已经出清完毕，还是还在出清过程中？</w:t>
      </w:r>
    </w:p>
    <w:p>
      <w:r>
        <w:rPr>
          <w:rFonts w:ascii="等线(中文正文)" w:hAnsi="等线(中文正文)" w:cs="等线(中文正文)" w:eastAsia="等线(中文正文)"/>
          <w:b w:val="false"/>
          <w:i w:val="false"/>
          <w:sz w:val="20"/>
        </w:rPr>
        <w:t>发言人1 答：目前，衡量杠杆资金风险的关键指标——两融（融资融券）余额从7月1号的历史最高位3万亿开始，已经连续12个交易日下滑，至今已缩水超过4000亿，其中单日净流出幅度为历史第四大金额。这表明杠杆资金正在出清中。</w:t>
      </w:r>
    </w:p>
    <w:p>
      <w:r>
        <w:rPr>
          <w:rFonts w:ascii="等线(中文正文)" w:hAnsi="等线(中文正文)" w:cs="等线(中文正文)" w:eastAsia="等线(中文正文)"/>
          <w:b w:val="false"/>
          <w:i w:val="false"/>
          <w:sz w:val="20"/>
        </w:rPr>
        <w:t/>
      </w:r>
    </w:p>
    <w:p>
      <w:pPr>
        <w:pStyle w:val="ab"/>
      </w:pPr>
      <w:r>
        <w:t>发言人1 问：前期哪些行业在去杠杆方面最为坚决且快速？</w:t>
      </w:r>
    </w:p>
    <w:p>
      <w:r>
        <w:rPr>
          <w:rFonts w:ascii="等线(中文正文)" w:hAnsi="等线(中文正文)" w:cs="等线(中文正文)" w:eastAsia="等线(中文正文)"/>
          <w:b w:val="false"/>
          <w:i w:val="false"/>
          <w:sz w:val="20"/>
        </w:rPr>
        <w:t>发言人1 答：前期最拥挤的方向，如电子和通信行业，在4月到6月的高点以来，其回落金额远超其他行业，已超过1000亿元，显示了去杠杆最为坚决和快速的特点。</w:t>
      </w:r>
    </w:p>
    <w:p>
      <w:r>
        <w:rPr>
          <w:rFonts w:ascii="等线(中文正文)" w:hAnsi="等线(中文正文)" w:cs="等线(中文正文)" w:eastAsia="等线(中文正文)"/>
          <w:b w:val="false"/>
          <w:i w:val="false"/>
          <w:sz w:val="20"/>
        </w:rPr>
        <w:t/>
      </w:r>
    </w:p>
    <w:p>
      <w:pPr>
        <w:pStyle w:val="ab"/>
      </w:pPr>
      <w:r>
        <w:t>发言人1 问：从融资买入占比和融资余额占流通市值比重的变化来看，杠杆风险情况如何？</w:t>
      </w:r>
    </w:p>
    <w:p>
      <w:r>
        <w:rPr>
          <w:rFonts w:ascii="等线(中文正文)" w:hAnsi="等线(中文正文)" w:cs="等线(中文正文)" w:eastAsia="等线(中文正文)"/>
          <w:b w:val="false"/>
          <w:i w:val="false"/>
          <w:sz w:val="20"/>
        </w:rPr>
        <w:t>发言人1 答：目前，融资买入占比和融资余额占流通市值比重正在逐渐下降，这说明杠杆风险正在快速释放。接下来需要观察降幅收窄及核心资产止跌的情况，以确认杠杆交易风险是否已基本出清。</w:t>
      </w:r>
    </w:p>
    <w:p>
      <w:r>
        <w:rPr>
          <w:rFonts w:ascii="等线(中文正文)" w:hAnsi="等线(中文正文)" w:cs="等线(中文正文)" w:eastAsia="等线(中文正文)"/>
          <w:b w:val="false"/>
          <w:i w:val="false"/>
          <w:sz w:val="20"/>
        </w:rPr>
        <w:t/>
      </w:r>
    </w:p>
    <w:p>
      <w:pPr>
        <w:pStyle w:val="ab"/>
      </w:pPr>
      <w:r>
        <w:t>发言人1 问：交易拥挤度方面，前期科技股的拥挤度是否过高，以及目前的情况如何？</w:t>
      </w:r>
    </w:p>
    <w:p>
      <w:r>
        <w:rPr>
          <w:rFonts w:ascii="等线(中文正文)" w:hAnsi="等线(中文正文)" w:cs="等线(中文正文)" w:eastAsia="等线(中文正文)"/>
          <w:b w:val="false"/>
          <w:i w:val="false"/>
          <w:sz w:val="20"/>
        </w:rPr>
        <w:t>发言人1 答：前期科技股确实交易拥挤度极高，TMG板块占比一度突破50%的历史峰值，同时公募基金在二季度对电子和通信行业的持仓占比也创历史新高。经过这轮调整，电子和通信行业的成交占比和换手率明显回落，一致多头预期开始松动，筹码结构逐渐改善，这意味着当市场不再拥挤时，反弹基础将更加扎实。</w:t>
      </w:r>
    </w:p>
    <w:p>
      <w:r>
        <w:rPr>
          <w:rFonts w:ascii="等线(中文正文)" w:hAnsi="等线(中文正文)" w:cs="等线(中文正文)" w:eastAsia="等线(中文正文)"/>
          <w:b w:val="false"/>
          <w:i w:val="false"/>
          <w:sz w:val="20"/>
        </w:rPr>
        <w:t/>
      </w:r>
    </w:p>
    <w:p>
      <w:pPr>
        <w:pStyle w:val="ab"/>
      </w:pPr>
      <w:r>
        <w:t>发言人1 问：尽管拥挤度在回落，但是否已回到健康区间？</w:t>
      </w:r>
    </w:p>
    <w:p>
      <w:r>
        <w:rPr>
          <w:rFonts w:ascii="等线(中文正文)" w:hAnsi="等线(中文正文)" w:cs="等线(中文正文)" w:eastAsia="等线(中文正文)"/>
          <w:b w:val="false"/>
          <w:i w:val="false"/>
          <w:sz w:val="20"/>
        </w:rPr>
        <w:t>发言人1 答：虽然拥挤度有所回落，但仍处于历史偏高水平，尚未回到健康区间。因此，还需继续跟踪该指标，看其是否能回到之前健康的水平。</w:t>
      </w:r>
    </w:p>
    <w:p>
      <w:r>
        <w:rPr>
          <w:rFonts w:ascii="等线(中文正文)" w:hAnsi="等线(中文正文)" w:cs="等线(中文正文)" w:eastAsia="等线(中文正文)"/>
          <w:b w:val="false"/>
          <w:i w:val="false"/>
          <w:sz w:val="20"/>
        </w:rPr>
        <w:t/>
      </w:r>
    </w:p>
    <w:p>
      <w:pPr>
        <w:pStyle w:val="ab"/>
      </w:pPr>
      <w:r>
        <w:t>发言人1 问：股权风险溢价的情况及其对市场的影响是什么？</w:t>
      </w:r>
    </w:p>
    <w:p>
      <w:r>
        <w:rPr>
          <w:rFonts w:ascii="等线(中文正文)" w:hAnsi="等线(中文正文)" w:cs="等线(中文正文)" w:eastAsia="等线(中文正文)"/>
          <w:b w:val="false"/>
          <w:i w:val="false"/>
          <w:sz w:val="20"/>
        </w:rPr>
        <w:t>发言人1 答：经过这轮调整后，万德全A的股权风险溢价回升至五年滚动中位数附近，意味着悲观预期得到充分定价，股票资产性价比重回合理区间。虽然未触及极值水平，但目前股灾恐慌定价并不极端，对于中长线资金而言，股票相对于债券的性价比尚未失衡，仍具有合理配置价值。</w:t>
      </w:r>
    </w:p>
    <w:p>
      <w:r>
        <w:rPr>
          <w:rFonts w:ascii="等线(中文正文)" w:hAnsi="等线(中文正文)" w:cs="等线(中文正文)" w:eastAsia="等线(中文正文)"/>
          <w:b w:val="false"/>
          <w:i w:val="false"/>
          <w:sz w:val="20"/>
        </w:rPr>
        <w:t/>
      </w:r>
    </w:p>
    <w:p>
      <w:pPr>
        <w:pStyle w:val="ab"/>
      </w:pPr>
      <w:r>
        <w:t>发言人1 问：两融余额在行业配置层面的变化如何？</w:t>
      </w:r>
    </w:p>
    <w:p>
      <w:r>
        <w:rPr>
          <w:rFonts w:ascii="等线(中文正文)" w:hAnsi="等线(中文正文)" w:cs="等线(中文正文)" w:eastAsia="等线(中文正文)"/>
          <w:b w:val="false"/>
          <w:i w:val="false"/>
          <w:sz w:val="20"/>
        </w:rPr>
        <w:t>发言人1 答：在调整前，电子行业的两融余额非常高，占到了大部分分布。经过调整，电子行业的两融余额流出约1600亿，极大地缓解了其之前极度拥挤的情况，并且资金正在从电子行业流向其他行业，整个申万一级行业的两融余额再平衡正在进行中。</w:t>
      </w:r>
    </w:p>
    <w:p>
      <w:r>
        <w:rPr>
          <w:rFonts w:ascii="等线(中文正文)" w:hAnsi="等线(中文正文)" w:cs="等线(中文正文)" w:eastAsia="等线(中文正文)"/>
          <w:b w:val="false"/>
          <w:i w:val="false"/>
          <w:sz w:val="20"/>
        </w:rPr>
        <w:t/>
      </w:r>
    </w:p>
    <w:p>
      <w:pPr>
        <w:pStyle w:val="ab"/>
      </w:pPr>
      <w:r>
        <w:t>发言人1 问：通信行业的两融余额变化情况如何？</w:t>
      </w:r>
    </w:p>
    <w:p>
      <w:r>
        <w:rPr>
          <w:rFonts w:ascii="等线(中文正文)" w:hAnsi="等线(中文正文)" w:cs="等线(中文正文)" w:eastAsia="等线(中文正文)"/>
          <w:b w:val="false"/>
          <w:i w:val="false"/>
          <w:sz w:val="20"/>
        </w:rPr>
        <w:t>发言人1 答：通信行业的两融余额虽然相比电子行业不算极致，但也经历了流出，之前约2000亿的两融余额现在减少了约500亿，表明通信行业也经历了较大幅度的调整。</w:t>
      </w:r>
    </w:p>
    <w:p>
      <w:r>
        <w:rPr>
          <w:rFonts w:ascii="等线(中文正文)" w:hAnsi="等线(中文正文)" w:cs="等线(中文正文)" w:eastAsia="等线(中文正文)"/>
          <w:b w:val="false"/>
          <w:i w:val="false"/>
          <w:sz w:val="20"/>
        </w:rPr>
        <w:t/>
      </w:r>
    </w:p>
    <w:p>
      <w:pPr>
        <w:pStyle w:val="ab"/>
      </w:pPr>
      <w:r>
        <w:t>发言人1 问：与15年相比，这一波行情中的杠杆水平是否可控？</w:t>
      </w:r>
    </w:p>
    <w:p>
      <w:r>
        <w:rPr>
          <w:rFonts w:ascii="等线(中文正文)" w:hAnsi="等线(中文正文)" w:cs="等线(中文正文)" w:eastAsia="等线(中文正文)"/>
          <w:b w:val="false"/>
          <w:i w:val="false"/>
          <w:sz w:val="20"/>
        </w:rPr>
        <w:t>发言人1 答：相比于15年，这一波行情中的杠杆水平和风险相对可控，且安全性更高。尽管有部分资金从电子通信等主力板块流出，带来了一定的板块调整，但最艰难的阶段可能已经过去。</w:t>
      </w:r>
    </w:p>
    <w:p>
      <w:r>
        <w:rPr>
          <w:rFonts w:ascii="等线(中文正文)" w:hAnsi="等线(中文正文)" w:cs="等线(中文正文)" w:eastAsia="等线(中文正文)"/>
          <w:b w:val="false"/>
          <w:i w:val="false"/>
          <w:sz w:val="20"/>
        </w:rPr>
        <w:t/>
      </w:r>
    </w:p>
    <w:p>
      <w:pPr>
        <w:pStyle w:val="ab"/>
      </w:pPr>
      <w:r>
        <w:t>发言人1 问：在前期电子和通信行业的拥挤度达到了一个什么样的程度？目前电子和通信行业的拥挤度情况如何？</w:t>
      </w:r>
    </w:p>
    <w:p>
      <w:r>
        <w:rPr>
          <w:rFonts w:ascii="等线(中文正文)" w:hAnsi="等线(中文正文)" w:cs="等线(中文正文)" w:eastAsia="等线(中文正文)"/>
          <w:b w:val="false"/>
          <w:i w:val="false"/>
          <w:sz w:val="20"/>
        </w:rPr>
        <w:t>发言人1 答：在六月份行情极致上涨阶段，电子行业的拥挤度从四月份的约15%增长到了接近35%，全市场有35%的资金在交易电子行业；通信行业的拥挤度也从20%增长到接近25%。经过调整后，目前电子行业的拥挤度大概在30%左右，通信行业的拥挤度约为8%，相较于之前的高点有所下降，但仍处于历史较高水平。</w:t>
      </w:r>
    </w:p>
    <w:p>
      <w:r>
        <w:rPr>
          <w:rFonts w:ascii="等线(中文正文)" w:hAnsi="等线(中文正文)" w:cs="等线(中文正文)" w:eastAsia="等线(中文正文)"/>
          <w:b w:val="false"/>
          <w:i w:val="false"/>
          <w:sz w:val="20"/>
        </w:rPr>
        <w:t/>
      </w:r>
    </w:p>
    <w:p>
      <w:pPr>
        <w:pStyle w:val="ab"/>
      </w:pPr>
      <w:r>
        <w:t>发言人1 问：换手率方面，电子和通信行业的表现是怎样的？</w:t>
      </w:r>
    </w:p>
    <w:p>
      <w:r>
        <w:rPr>
          <w:rFonts w:ascii="等线(中文正文)" w:hAnsi="等线(中文正文)" w:cs="等线(中文正文)" w:eastAsia="等线(中文正文)"/>
          <w:b w:val="false"/>
          <w:i w:val="false"/>
          <w:sz w:val="20"/>
        </w:rPr>
        <w:t>发言人1 答：在4到6月的极致行情中，电子行业的换手率达到了7%的高位，而通信行业的换手率最高为将近4%，明显超出常规健康的2-3%区间。目前，电子行业的换手率回落至4%左右，通信行业则已回归到较为健康的换手率水平内。</w:t>
      </w:r>
    </w:p>
    <w:p>
      <w:r>
        <w:rPr>
          <w:rFonts w:ascii="等线(中文正文)" w:hAnsi="等线(中文正文)" w:cs="等线(中文正文)" w:eastAsia="等线(中文正文)"/>
          <w:b w:val="false"/>
          <w:i w:val="false"/>
          <w:sz w:val="20"/>
        </w:rPr>
        <w:t/>
      </w:r>
    </w:p>
    <w:p>
      <w:pPr>
        <w:pStyle w:val="ab"/>
      </w:pPr>
      <w:r>
        <w:t>发言人1 问：当时基金对于电子和通信行业的持仓情况如何？</w:t>
      </w:r>
    </w:p>
    <w:p>
      <w:r>
        <w:rPr>
          <w:rFonts w:ascii="等线(中文正文)" w:hAnsi="等线(中文正文)" w:cs="等线(中文正文)" w:eastAsia="等线(中文正文)"/>
          <w:b w:val="false"/>
          <w:i w:val="false"/>
          <w:sz w:val="20"/>
        </w:rPr>
        <w:t>发言人1 答：根据二季报数据，公募基金对于电子和通信行业的持仓占比超过了60%，显示出基金行业对此类股票购买热情极高。</w:t>
      </w:r>
    </w:p>
    <w:p>
      <w:r>
        <w:rPr>
          <w:rFonts w:ascii="等线(中文正文)" w:hAnsi="等线(中文正文)" w:cs="等线(中文正文)" w:eastAsia="等线(中文正文)"/>
          <w:b w:val="false"/>
          <w:i w:val="false"/>
          <w:sz w:val="20"/>
        </w:rPr>
        <w:t/>
      </w:r>
    </w:p>
    <w:p>
      <w:pPr>
        <w:pStyle w:val="ab"/>
      </w:pPr>
      <w:r>
        <w:t>发言人1 问：股权风险溢价对于短期和长期投资者有何指导作用？</w:t>
      </w:r>
    </w:p>
    <w:p>
      <w:r>
        <w:rPr>
          <w:rFonts w:ascii="等线(中文正文)" w:hAnsi="等线(中文正文)" w:cs="等线(中文正文)" w:eastAsia="等线(中文正文)"/>
          <w:b w:val="false"/>
          <w:i w:val="false"/>
          <w:sz w:val="20"/>
        </w:rPr>
        <w:t>发言人1 答：股权风险溢价是股票相对于债券多给投资者的额外补偿。当股权风险溢价较高时，对于短期投资者来说，这意味着投资股市性价比更高，可能是一个较好的投资机会；对于长期投资者而言，虽然股权风险溢价处于中等水平，但相比债券仍有优势，且当前位置提供了合理的资产配置价值。</w:t>
      </w:r>
    </w:p>
    <w:p>
      <w:r>
        <w:rPr>
          <w:rFonts w:ascii="等线(中文正文)" w:hAnsi="等线(中文正文)" w:cs="等线(中文正文)" w:eastAsia="等线(中文正文)"/>
          <w:b w:val="false"/>
          <w:i w:val="false"/>
          <w:sz w:val="20"/>
        </w:rPr>
        <w:t/>
      </w:r>
    </w:p>
    <w:p>
      <w:pPr>
        <w:pStyle w:val="ab"/>
      </w:pPr>
      <w:r>
        <w:t>发言人1 问：AI产业逻辑在当前环境下是否仍然顺畅？</w:t>
      </w:r>
    </w:p>
    <w:p>
      <w:r>
        <w:rPr>
          <w:rFonts w:ascii="等线(中文正文)" w:hAnsi="等线(中文正文)" w:cs="等线(中文正文)" w:eastAsia="等线(中文正文)"/>
          <w:b w:val="false"/>
          <w:i w:val="false"/>
          <w:sz w:val="20"/>
        </w:rPr>
        <w:t>发言人1 答：AI产业逻辑作为决定性因素，在科技行情大暴跌后，仍需深入探讨其在当下是否保持顺畅，以及如何通过相关数据指标评估该产业逻辑延续性的具体状况。</w:t>
      </w:r>
    </w:p>
    <w:p>
      <w:r>
        <w:rPr>
          <w:rFonts w:ascii="等线(中文正文)" w:hAnsi="等线(中文正文)" w:cs="等线(中文正文)" w:eastAsia="等线(中文正文)"/>
          <w:b w:val="false"/>
          <w:i w:val="false"/>
          <w:sz w:val="20"/>
        </w:rPr>
        <w:t/>
      </w:r>
    </w:p>
    <w:p>
      <w:pPr>
        <w:pStyle w:val="ab"/>
      </w:pPr>
      <w:r>
        <w:t>发言人1 问：上周科技公司中报业绩披露后，AI产业的担忧情况如何？</w:t>
      </w:r>
    </w:p>
    <w:p>
      <w:r>
        <w:rPr>
          <w:rFonts w:ascii="等线(中文正文)" w:hAnsi="等线(中文正文)" w:cs="等线(中文正文)" w:eastAsia="等线(中文正文)"/>
          <w:b w:val="false"/>
          <w:i w:val="false"/>
          <w:sz w:val="20"/>
        </w:rPr>
        <w:t>发言人1 答：上周科技公司中报业绩披露后，担忧的悲观情形并未发生。AI整体回报大超预期，云厂商的积压订单持续高增，远期资本开支仍有确定性。</w:t>
      </w:r>
    </w:p>
    <w:p>
      <w:r>
        <w:rPr>
          <w:rFonts w:ascii="等线(中文正文)" w:hAnsi="等线(中文正文)" w:cs="等线(中文正文)" w:eastAsia="等线(中文正文)"/>
          <w:b w:val="false"/>
          <w:i w:val="false"/>
          <w:sz w:val="20"/>
        </w:rPr>
        <w:t/>
      </w:r>
    </w:p>
    <w:p>
      <w:pPr>
        <w:pStyle w:val="ab"/>
      </w:pPr>
      <w:r>
        <w:t>发言人1 问：AI产业逻辑的核心是什么？从二季报数据来看，AI公司的业绩表现如何？</w:t>
      </w:r>
    </w:p>
    <w:p>
      <w:r>
        <w:rPr>
          <w:rFonts w:ascii="等线(中文正文)" w:hAnsi="等线(中文正文)" w:cs="等线(中文正文)" w:eastAsia="等线(中文正文)"/>
          <w:b w:val="false"/>
          <w:i w:val="false"/>
          <w:sz w:val="20"/>
        </w:rPr>
        <w:t>发言人1 答：AI产业逻辑的核心在于云厂商通过资本开支建设算力并出租给大模型公司，大模型公司再向企业和个人收费，资金回流至云厂商，支撑其下一轮投资，形成产业闭环。在二季报中，即使预期大幅上升，美股科技股EPS超预期的比例仍高达85%，中位数超预期幅度为5.6%，均超过历史较高水平，表明整个美股科技型企业业绩高增，打破了之前对AI业绩不及预期的担忧。</w:t>
      </w:r>
    </w:p>
    <w:p>
      <w:r>
        <w:rPr>
          <w:rFonts w:ascii="等线(中文正文)" w:hAnsi="等线(中文正文)" w:cs="等线(中文正文)" w:eastAsia="等线(中文正文)"/>
          <w:b w:val="false"/>
          <w:i w:val="false"/>
          <w:sz w:val="20"/>
        </w:rPr>
        <w:t/>
      </w:r>
    </w:p>
    <w:p>
      <w:pPr>
        <w:pStyle w:val="ab"/>
      </w:pPr>
      <w:r>
        <w:t>发言人1 问：云厂商能否支撑大规模资本开支的关键指标有哪些？</w:t>
      </w:r>
    </w:p>
    <w:p>
      <w:r>
        <w:rPr>
          <w:rFonts w:ascii="等线(中文正文)" w:hAnsi="等线(中文正文)" w:cs="等线(中文正文)" w:eastAsia="等线(中文正文)"/>
          <w:b w:val="false"/>
          <w:i w:val="false"/>
          <w:sz w:val="20"/>
        </w:rPr>
        <w:t>发言人1 答：关键指标包括云业务的增长显著高于市场预期，以及云厂商的积压订单大幅增长，如谷歌、微软和亚马逊云业务的订单增速均显著跑赢收入增速，显示供需矛盾未凸显，未来增长能见度高。</w:t>
      </w:r>
    </w:p>
    <w:p>
      <w:r>
        <w:rPr>
          <w:rFonts w:ascii="等线(中文正文)" w:hAnsi="等线(中文正文)" w:cs="等线(中文正文)" w:eastAsia="等线(中文正文)"/>
          <w:b w:val="false"/>
          <w:i w:val="false"/>
          <w:sz w:val="20"/>
        </w:rPr>
        <w:t/>
      </w:r>
    </w:p>
    <w:p>
      <w:pPr>
        <w:pStyle w:val="ab"/>
      </w:pPr>
      <w:r>
        <w:t>发言人1 问：大模型公司的创收情况及其对资本开支的影响如何？</w:t>
      </w:r>
    </w:p>
    <w:p>
      <w:r>
        <w:rPr>
          <w:rFonts w:ascii="等线(中文正文)" w:hAnsi="等线(中文正文)" w:cs="等线(中文正文)" w:eastAsia="等线(中文正文)"/>
          <w:b w:val="false"/>
          <w:i w:val="false"/>
          <w:sz w:val="20"/>
        </w:rPr>
        <w:t>发言人1 答：大模型公司的年化收入已显著提升，例如Samba的年化收入达到约470亿美元，OpenAI也有约214亿美元，这表明下游付费资金持续回流，支撑了上游云厂商的资本开支。</w:t>
      </w:r>
    </w:p>
    <w:p>
      <w:r>
        <w:rPr>
          <w:rFonts w:ascii="等线(中文正文)" w:hAnsi="等线(中文正文)" w:cs="等线(中文正文)" w:eastAsia="等线(中文正文)"/>
          <w:b w:val="false"/>
          <w:i w:val="false"/>
          <w:sz w:val="20"/>
        </w:rPr>
        <w:t/>
      </w:r>
    </w:p>
    <w:p>
      <w:pPr>
        <w:pStyle w:val="ab"/>
      </w:pPr>
      <w:r>
        <w:t>发言人1 问：对于未来资本开支的指引情况如何？</w:t>
      </w:r>
    </w:p>
    <w:p>
      <w:r>
        <w:rPr>
          <w:rFonts w:ascii="等线(中文正文)" w:hAnsi="等线(中文正文)" w:cs="等线(中文正文)" w:eastAsia="等线(中文正文)"/>
          <w:b w:val="false"/>
          <w:i w:val="false"/>
          <w:sz w:val="20"/>
        </w:rPr>
        <w:t>发言人1 答：云厂商对2026年的资本开支指引持续加码，如谷歌、亚马逊和微软等公司均上调了资本开支预算，预计同比增速可达80%左右。对于2027年的资本开支指引，虽然尚未量化，但各公司均未释放缩减信号，可能率会继续增加投入。</w:t>
      </w:r>
    </w:p>
    <w:p>
      <w:r>
        <w:rPr>
          <w:rFonts w:ascii="等线(中文正文)" w:hAnsi="等线(中文正文)" w:cs="等线(中文正文)" w:eastAsia="等线(中文正文)"/>
          <w:b w:val="false"/>
          <w:i w:val="false"/>
          <w:sz w:val="20"/>
        </w:rPr>
        <w:t/>
      </w:r>
    </w:p>
    <w:p>
      <w:pPr>
        <w:pStyle w:val="ab"/>
      </w:pPr>
      <w:r>
        <w:t>发言人1 问：目前市场对资本开支的关注焦点转向何处？</w:t>
      </w:r>
    </w:p>
    <w:p>
      <w:r>
        <w:rPr>
          <w:rFonts w:ascii="等线(中文正文)" w:hAnsi="等线(中文正文)" w:cs="等线(中文正文)" w:eastAsia="等线(中文正文)"/>
          <w:b w:val="false"/>
          <w:i w:val="false"/>
          <w:sz w:val="20"/>
        </w:rPr>
        <w:t>发言人1 答：市场现在更关注资本开支的回报能否兑现，即扣除云厂商资本开支后的自由现金流，以此验证公司是否有稳定的现金流去周转业务，并关注订单能否兑现以及业务能否支撑大规模资本开支。</w:t>
      </w:r>
    </w:p>
    <w:p>
      <w:r>
        <w:rPr>
          <w:rFonts w:ascii="等线(中文正文)" w:hAnsi="等线(中文正文)" w:cs="等线(中文正文)" w:eastAsia="等线(中文正文)"/>
          <w:b w:val="false"/>
          <w:i w:val="false"/>
          <w:sz w:val="20"/>
        </w:rPr>
        <w:t/>
      </w:r>
    </w:p>
    <w:p>
      <w:pPr>
        <w:pStyle w:val="ab"/>
      </w:pPr>
      <w:r>
        <w:t>发言人1 问：硬件厂商行情与AI资本开支的关系为何发生变化？</w:t>
      </w:r>
    </w:p>
    <w:p>
      <w:r>
        <w:rPr>
          <w:rFonts w:ascii="等线(中文正文)" w:hAnsi="等线(中文正文)" w:cs="等线(中文正文)" w:eastAsia="等线(中文正文)"/>
          <w:b w:val="false"/>
          <w:i w:val="false"/>
          <w:sz w:val="20"/>
        </w:rPr>
        <w:t>发言人1 答：虽然资本开支仍然强劲，但市场对硬件厂商的关注点从单纯依赖资本开支增长转向关注后续能否继续跟上资本开支增长、业务能否变现，以及能否支撑大规模资本开支的能力。因此，即使预期指引仍在增长，硬件厂商以往那种“只看资本开支涨”的逻辑已发生变化，部分原因可能是前期定价过高以及对AI产业落地和业绩兑现的怀疑。</w:t>
      </w:r>
    </w:p>
    <w:p>
      <w:r>
        <w:rPr>
          <w:rFonts w:ascii="等线(中文正文)" w:hAnsi="等线(中文正文)" w:cs="等线(中文正文)" w:eastAsia="等线(中文正文)"/>
          <w:b w:val="false"/>
          <w:i w:val="false"/>
          <w:sz w:val="20"/>
        </w:rPr>
        <w:t/>
      </w:r>
    </w:p>
    <w:p>
      <w:pPr>
        <w:pStyle w:val="ab"/>
      </w:pPr>
      <w:r>
        <w:t>发言人1 问：港股市场近期应用端上涨的原因是什么？</w:t>
      </w:r>
    </w:p>
    <w:p>
      <w:r>
        <w:rPr>
          <w:rFonts w:ascii="等线(中文正文)" w:hAnsi="等线(中文正文)" w:cs="等线(中文正文)" w:eastAsia="等线(中文正文)"/>
          <w:b w:val="false"/>
          <w:i w:val="false"/>
          <w:sz w:val="20"/>
        </w:rPr>
        <w:t>发言人1 答：港股应用端上涨主要是因为在硬件端（如A股、美股、韩股）大幅回调时，港股因其缺少硬件类龙头企业，在全球硬件端调整阶段，港股应用端由于性价比提升而表现出补涨态势，并且其估值相对较低。此外，硬件端的回调对于AI产业后续能否持续运转和闭环支撑至关重要，而港股市场的软件应用端企业如果能兑现AI产业逻辑，则对整个AI发展起到支撑作用。</w:t>
      </w:r>
    </w:p>
    <w:p>
      <w:r>
        <w:rPr>
          <w:rFonts w:ascii="等线(中文正文)" w:hAnsi="等线(中文正文)" w:cs="等线(中文正文)" w:eastAsia="等线(中文正文)"/>
          <w:b w:val="false"/>
          <w:i w:val="false"/>
          <w:sz w:val="20"/>
        </w:rPr>
        <w:t/>
      </w:r>
    </w:p>
    <w:p>
      <w:pPr>
        <w:pStyle w:val="ab"/>
      </w:pPr>
      <w:r>
        <w:t>发言人1 问：普通投资者在选择科技方向时应关注哪些指标？</w:t>
      </w:r>
    </w:p>
    <w:p>
      <w:r>
        <w:rPr>
          <w:rFonts w:ascii="等线(中文正文)" w:hAnsi="等线(中文正文)" w:cs="等线(中文正文)" w:eastAsia="等线(中文正文)"/>
          <w:b w:val="false"/>
          <w:i w:val="false"/>
          <w:sz w:val="20"/>
        </w:rPr>
        <w:t>发言人1 答：投资者应关注企业自由现金流这一核心指标，因为它反映了企业在扣除资本开支后的现金流水平，体现了公司的变现能力和财务健康状况。如果自由现金流为正且能支撑企业运营，说明该公司具有较好的变现能力和较强的业务支撑能力。</w:t>
      </w:r>
    </w:p>
    <w:p>
      <w:r>
        <w:rPr>
          <w:rFonts w:ascii="等线(中文正文)" w:hAnsi="等线(中文正文)" w:cs="等线(中文正文)" w:eastAsia="等线(中文正文)"/>
          <w:b w:val="false"/>
          <w:i w:val="false"/>
          <w:sz w:val="20"/>
        </w:rPr>
        <w:t/>
      </w:r>
    </w:p>
    <w:p>
      <w:pPr>
        <w:pStyle w:val="ab"/>
      </w:pPr>
      <w:r>
        <w:t>发言人1 问：对于目前持仓亏损的朋友，应该如何应对？</w:t>
      </w:r>
    </w:p>
    <w:p>
      <w:r>
        <w:rPr>
          <w:rFonts w:ascii="等线(中文正文)" w:hAnsi="等线(中文正文)" w:cs="等线(中文正文)" w:eastAsia="等线(中文正文)"/>
          <w:b w:val="false"/>
          <w:i w:val="false"/>
          <w:sz w:val="20"/>
        </w:rPr>
        <w:t>发言人1 答：对于处于亏损状态的朋友，不建议盲目割肉离场，因为AI产业逻辑仍在。建议采取均衡配置策略，减少单一资产的集中度，例如在AI下跌过程中配置红利资产或宽基指数，以缓解心理压力。同时，在AI走低时逢低分批建仓，把握未来主线行情的机会，而不是完全清仓离场。</w:t>
      </w:r>
    </w:p>
    <w:p>
      <w:r>
        <w:rPr>
          <w:rFonts w:ascii="等线(中文正文)" w:hAnsi="等线(中文正文)" w:cs="等线(中文正文)" w:eastAsia="等线(中文正文)"/>
          <w:b w:val="false"/>
          <w:i w:val="false"/>
          <w:sz w:val="20"/>
        </w:rPr>
        <w:t/>
      </w:r>
    </w:p>
    <w:p>
      <w:pPr>
        <w:pStyle w:val="ab"/>
      </w:pPr>
      <w:r>
        <w:t>发言人1 问：在当前环境下，对于科技主线之外的防御配置，有何建议？</w:t>
      </w:r>
    </w:p>
    <w:p>
      <w:r>
        <w:rPr>
          <w:rFonts w:ascii="等线(中文正文)" w:hAnsi="等线(中文正文)" w:cs="等线(中文正文)" w:eastAsia="等线(中文正文)"/>
          <w:b w:val="false"/>
          <w:i w:val="false"/>
          <w:sz w:val="20"/>
        </w:rPr>
        <w:t>发言人1 答：防御配置方面，推荐选择波动较低且与科技产业相关性较小的资产，如红利低波股票和大盘宽基指数基金，它们能在避险情绪升温时展现出较好的韧性。此外，债券基金也是分散权益波动风险的好选择，在低利率环境下具有一定的性价比。整体上，建议以科技主线为基础布局，同时结合防御类资产构建稳固的资产配置策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