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招商证券 - 防御优先，关注能源供给冲击 - 8月大类资产配置展望 260803_导读</w:t>
      </w:r>
    </w:p>
    <w:p>
      <w:pPr>
        <w:pStyle w:val="a0"/>
        <w:jc w:val="center"/>
      </w:pPr>
      <w:r>
        <w:t>2026年08月03日 22:36</w:t>
      </w:r>
    </w:p>
    <w:p>
      <w:pPr>
        <w:pStyle w:val="a7"/>
      </w:pPr>
      <w:r>
        <w:t>关键词</w:t>
      </w:r>
    </w:p>
    <w:p>
      <w:r>
        <w:rPr>
          <w:rFonts w:ascii="等线(中文正文)" w:hAnsi="等线(中文正文)" w:cs="等线(中文正文)" w:eastAsia="等线(中文正文)"/>
          <w:b w:val="false"/>
          <w:i w:val="false"/>
          <w:sz w:val="20"/>
        </w:rPr>
        <w:t xml:space="preserve">大类资产 防御优先 股票 债券 商品 黄金 估值压力 盈利增速 ERP M1增速 出口增速 固定资产投资 ROSC模型 利率中枢 宏观基本面 交易机会 利率债 基金公司 证券公司 保险公司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招商证券资产配置研究团队深入分析了各类资产的市场前景，强调高股息率资产性价比处于高位，符合市场预期。在大类资产配置上，团队建议当前环境下应以防御为主，对股票和债券市场进行了布局。针对商品市场，指出黄金和能化资产受多重因素影响，需考虑宏观及资产价格冲击。同时，团队关注海外资金流向，发现存在相对明显的流出趋势。讨论了八月份A股配置观点，指出估值压力虽释放，但未达极端高性价比，需关注盈利增速和机构资金行为。对于固定收益类资产，分析了利率债和可转债市场，以及黄金市场的投资策略。大宗商品市场受地缘政治影响显著，供给冲击和需求因素成为关键，团队展望了未来投资机会和外资配置行为，为投资者提供了深度的策略建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大类资产配置展望：防御优先与商品机会</w:t>
      </w:r>
    </w:p>
    <w:p>
      <w:r>
        <w:rPr>
          <w:rFonts w:ascii="等线(中文正文)" w:hAnsi="等线(中文正文)" w:cs="等线(中文正文)" w:eastAsia="等线(中文正文)"/>
          <w:b w:val="false"/>
          <w:i w:val="false"/>
          <w:sz w:val="20"/>
        </w:rPr>
        <w:t>讨论了大类资产配置策略，强调防御优先，关注股票和债券市场布局；指出黄金相关性下降，能化资产因供给冲击带来交易机会；同时跟踪海外机构资金流，发现明显流出趋势。</w:t>
      </w:r>
    </w:p>
    <w:p>
      <w:r>
        <w:rPr>
          <w:rFonts w:ascii="等线(中文正文)" w:hAnsi="等线(中文正文)" w:cs="等线(中文正文)" w:eastAsia="等线(中文正文)"/>
          <w:b w:val="false"/>
          <w:i w:val="false"/>
          <w:sz w:val="20"/>
        </w:rPr>
        <w:t/>
      </w:r>
    </w:p>
    <w:p>
      <w:pPr>
        <w:pStyle w:val="ab"/>
        <w:numPr>
          <w:numId w:val="2"/>
        </w:numPr>
      </w:pPr>
      <w:r>
        <w:t>02:09 八月A股配置观点：估值压力释放，盈利增速偏弱</w:t>
      </w:r>
    </w:p>
    <w:p>
      <w:r>
        <w:rPr>
          <w:rFonts w:ascii="等线(中文正文)" w:hAnsi="等线(中文正文)" w:cs="等线(中文正文)" w:eastAsia="等线(中文正文)"/>
          <w:b w:val="false"/>
          <w:i w:val="false"/>
          <w:sz w:val="20"/>
        </w:rPr>
        <w:t>市场估值压力已释放，但绝对估值性价比不高，盈利增长隐忧拖累市场预期。七月市场判断准确，红利板块表现强劲。八月需关注盈利端变化，预计中证800未来12月盈利增速偏弱，对A股整体收益期期待不高。</w:t>
      </w:r>
    </w:p>
    <w:p>
      <w:r>
        <w:rPr>
          <w:rFonts w:ascii="等线(中文正文)" w:hAnsi="等线(中文正文)" w:cs="等线(中文正文)" w:eastAsia="等线(中文正文)"/>
          <w:b w:val="false"/>
          <w:i w:val="false"/>
          <w:sz w:val="20"/>
        </w:rPr>
        <w:t/>
      </w:r>
    </w:p>
    <w:p>
      <w:pPr>
        <w:pStyle w:val="ab"/>
        <w:numPr>
          <w:numId w:val="3"/>
        </w:numPr>
      </w:pPr>
      <w:r>
        <w:t>07:57 市场短期分析与中期策略建议</w:t>
      </w:r>
    </w:p>
    <w:p>
      <w:r>
        <w:rPr>
          <w:rFonts w:ascii="等线(中文正文)" w:hAnsi="等线(中文正文)" w:cs="等线(中文正文)" w:eastAsia="等线(中文正文)"/>
          <w:b w:val="false"/>
          <w:i w:val="false"/>
          <w:sz w:val="20"/>
        </w:rPr>
        <w:t>对话深入探讨了当前市场基本面偏弱、情绪面偏强、价格趋势偏弱及估值中性的状态，结合历史相似信号结构，预测短期内市场可能经历震荡筑底。建议在八月上旬采取防御优先的策略，关注宏观修复信号或价量层面的共同驱动力量作为短期看涨的依据。</w:t>
      </w:r>
    </w:p>
    <w:p>
      <w:r>
        <w:rPr>
          <w:rFonts w:ascii="等线(中文正文)" w:hAnsi="等线(中文正文)" w:cs="等线(中文正文)" w:eastAsia="等线(中文正文)"/>
          <w:b w:val="false"/>
          <w:i w:val="false"/>
          <w:sz w:val="20"/>
        </w:rPr>
        <w:t/>
      </w:r>
    </w:p>
    <w:p>
      <w:pPr>
        <w:pStyle w:val="ab"/>
        <w:numPr>
          <w:numId w:val="4"/>
        </w:numPr>
      </w:pPr>
      <w:r>
        <w:t>12:23 八月利率债市场中期配置观点</w:t>
      </w:r>
    </w:p>
    <w:p>
      <w:r>
        <w:rPr>
          <w:rFonts w:ascii="等线(中文正文)" w:hAnsi="等线(中文正文)" w:cs="等线(中文正文)" w:eastAsia="等线(中文正文)"/>
          <w:b w:val="false"/>
          <w:i w:val="false"/>
          <w:sz w:val="20"/>
        </w:rPr>
        <w:t>通过ROSC模型分析，当前利率处于中性偏高水平，十年期国债到期收益率在1.72左右波动。近期盈利预期下调导致利率中枢下移约2BP，市场利率接近模型上界，预计年内利率下行压力增大。</w:t>
      </w:r>
    </w:p>
    <w:p>
      <w:r>
        <w:rPr>
          <w:rFonts w:ascii="等线(中文正文)" w:hAnsi="等线(中文正文)" w:cs="等线(中文正文)" w:eastAsia="等线(中文正文)"/>
          <w:b w:val="false"/>
          <w:i w:val="false"/>
          <w:sz w:val="20"/>
        </w:rPr>
        <w:t/>
      </w:r>
    </w:p>
    <w:p>
      <w:pPr>
        <w:pStyle w:val="ab"/>
        <w:numPr>
          <w:numId w:val="5"/>
        </w:numPr>
      </w:pPr>
      <w:r>
        <w:t>15:23 利率债市场短期择时观点分析</w:t>
      </w:r>
    </w:p>
    <w:p>
      <w:r>
        <w:rPr>
          <w:rFonts w:ascii="等线(中文正文)" w:hAnsi="等线(中文正文)" w:cs="等线(中文正文)" w:eastAsia="等线(中文正文)"/>
          <w:b w:val="false"/>
          <w:i w:val="false"/>
          <w:sz w:val="20"/>
        </w:rPr>
        <w:t>通过对宏观基本面、机构资金交易行为及利率下降趋势三个视角的分析，当前市场短期择时观点综合判断为中性偏乐观。宏观基本面模型偏空，但机构资金交易行为和利率下降趋势模型均偏多，且机构资金交易行为模型与下降趋势突破模型在年内表现稳定，超额收益显著。</w:t>
      </w:r>
    </w:p>
    <w:p>
      <w:r>
        <w:rPr>
          <w:rFonts w:ascii="等线(中文正文)" w:hAnsi="等线(中文正文)" w:cs="等线(中文正文)" w:eastAsia="等线(中文正文)"/>
          <w:b w:val="false"/>
          <w:i w:val="false"/>
          <w:sz w:val="20"/>
        </w:rPr>
        <w:t/>
      </w:r>
    </w:p>
    <w:p>
      <w:pPr>
        <w:pStyle w:val="ab"/>
        <w:numPr>
          <w:numId w:val="6"/>
        </w:numPr>
      </w:pPr>
      <w:r>
        <w:t>19:30 转债市场估值与固收多资产策略分析</w:t>
      </w:r>
    </w:p>
    <w:p>
      <w:r>
        <w:rPr>
          <w:rFonts w:ascii="等线(中文正文)" w:hAnsi="等线(中文正文)" w:cs="等线(中文正文)" w:eastAsia="等线(中文正文)"/>
          <w:b w:val="false"/>
          <w:i w:val="false"/>
          <w:sz w:val="20"/>
        </w:rPr>
        <w:t>讨论了转债市场从期权估值和正股估值两个维度的判断，指出当前转债估值合理且略低估，固收多资产策略组合表现良好，建议标配转债，超配长债，低配短债，投资者可关注后续业绩表现。</w:t>
      </w:r>
    </w:p>
    <w:p>
      <w:r>
        <w:rPr>
          <w:rFonts w:ascii="等线(中文正文)" w:hAnsi="等线(中文正文)" w:cs="等线(中文正文)" w:eastAsia="等线(中文正文)"/>
          <w:b w:val="false"/>
          <w:i w:val="false"/>
          <w:sz w:val="20"/>
        </w:rPr>
        <w:t/>
      </w:r>
    </w:p>
    <w:p>
      <w:pPr>
        <w:pStyle w:val="ab"/>
        <w:numPr>
          <w:numId w:val="7"/>
        </w:numPr>
      </w:pPr>
      <w:r>
        <w:t>21:59 黄金市场近期分析与预测</w:t>
      </w:r>
    </w:p>
    <w:p>
      <w:r>
        <w:rPr>
          <w:rFonts w:ascii="等线(中文正文)" w:hAnsi="等线(中文正文)" w:cs="等线(中文正文)" w:eastAsia="等线(中文正文)"/>
          <w:b w:val="false"/>
          <w:i w:val="false"/>
          <w:sz w:val="20"/>
        </w:rPr>
        <w:t>黄金价格7月在4000美元附近震荡，受美元指数和实际利率影响显著。短期避险需求减弱，但美元指数和实际利率与金价的负相关性增强。全球黄金ETF持有量持续净流出，投资需求降温。衍生品市场预期走弱，但隐含波动率已脱离高估区间。</w:t>
      </w:r>
    </w:p>
    <w:p>
      <w:r>
        <w:rPr>
          <w:rFonts w:ascii="等线(中文正文)" w:hAnsi="等线(中文正文)" w:cs="等线(中文正文)" w:eastAsia="等线(中文正文)"/>
          <w:b w:val="false"/>
          <w:i w:val="false"/>
          <w:sz w:val="20"/>
        </w:rPr>
        <w:t/>
      </w:r>
    </w:p>
    <w:p>
      <w:pPr>
        <w:pStyle w:val="ab"/>
        <w:numPr>
          <w:numId w:val="8"/>
        </w:numPr>
      </w:pPr>
      <w:r>
        <w:t>27:16 黄金储备与市场趋势分析</w:t>
      </w:r>
    </w:p>
    <w:p>
      <w:r>
        <w:rPr>
          <w:rFonts w:ascii="等线(中文正文)" w:hAnsi="等线(中文正文)" w:cs="等线(中文正文)" w:eastAsia="等线(中文正文)"/>
          <w:b w:val="false"/>
          <w:i w:val="false"/>
          <w:sz w:val="20"/>
        </w:rPr>
        <w:t>黄金储备显示持续增加趋势，但近期投资需求疲软，实际利率上行及黄金ETF资金流出影响市场情绪。中长期黄金配置价值未被完全否定，但当前市场仍保持谨慎，需明确事件催化趋势性上涨。公募FOF基金对黄金的配置显著减少，多数基金选择降低黄金权重，转向审慎持有策略。</w:t>
      </w:r>
    </w:p>
    <w:p>
      <w:r>
        <w:rPr>
          <w:rFonts w:ascii="等线(中文正文)" w:hAnsi="等线(中文正文)" w:cs="等线(中文正文)" w:eastAsia="等线(中文正文)"/>
          <w:b w:val="false"/>
          <w:i w:val="false"/>
          <w:sz w:val="20"/>
        </w:rPr>
        <w:t/>
      </w:r>
    </w:p>
    <w:p>
      <w:pPr>
        <w:pStyle w:val="ab"/>
        <w:numPr>
          <w:numId w:val="9"/>
        </w:numPr>
      </w:pPr>
      <w:r>
        <w:t>32:47 美伊冲突下大宗商品市场反应分析</w:t>
      </w:r>
    </w:p>
    <w:p>
      <w:r>
        <w:rPr>
          <w:rFonts w:ascii="等线(中文正文)" w:hAnsi="等线(中文正文)" w:cs="等线(中文正文)" w:eastAsia="等线(中文正文)"/>
          <w:b w:val="false"/>
          <w:i w:val="false"/>
          <w:sz w:val="20"/>
        </w:rPr>
        <w:t>分析了美伊冲突对大宗商品市场的影响，指出市场对冲突的反应从第一轮的剧烈波动到第二轮的钝化，尤其是原油价格仍受驱动，而其他商品如铜和铝更多受自身供需影响，市场敏感度逐渐收敛，由事件驱动转向事实驱动。</w:t>
      </w:r>
    </w:p>
    <w:p>
      <w:r>
        <w:rPr>
          <w:rFonts w:ascii="等线(中文正文)" w:hAnsi="等线(中文正文)" w:cs="等线(中文正文)" w:eastAsia="等线(中文正文)"/>
          <w:b w:val="false"/>
          <w:i w:val="false"/>
          <w:sz w:val="20"/>
        </w:rPr>
        <w:t/>
      </w:r>
    </w:p>
    <w:p>
      <w:pPr>
        <w:pStyle w:val="ab"/>
        <w:numPr>
          <w:numId w:val="10"/>
        </w:numPr>
      </w:pPr>
      <w:r>
        <w:t>37:48 冲突影响下的商品价格分化与基本面转向</w:t>
      </w:r>
    </w:p>
    <w:p>
      <w:r>
        <w:rPr>
          <w:rFonts w:ascii="等线(中文正文)" w:hAnsi="等线(中文正文)" w:cs="等线(中文正文)" w:eastAsia="等线(中文正文)"/>
          <w:b w:val="false"/>
          <w:i w:val="false"/>
          <w:sz w:val="20"/>
        </w:rPr>
        <w:t>冲突导致商品价格分化，原油涨幅大，而PTA等化工品涨幅较小，市场关注点转向基本面，如铜铝价格坚挺因供应紧张，黑色、豆粕等转向交易供给因素而非地缘冲突。</w:t>
      </w:r>
    </w:p>
    <w:p>
      <w:r>
        <w:rPr>
          <w:rFonts w:ascii="等线(中文正文)" w:hAnsi="等线(中文正文)" w:cs="等线(中文正文)" w:eastAsia="等线(中文正文)"/>
          <w:b w:val="false"/>
          <w:i w:val="false"/>
          <w:sz w:val="20"/>
        </w:rPr>
        <w:t/>
      </w:r>
    </w:p>
    <w:p>
      <w:pPr>
        <w:pStyle w:val="ab"/>
        <w:numPr>
          <w:numId w:val="11"/>
        </w:numPr>
      </w:pPr>
      <w:r>
        <w:t>40:37 大宗商品三因子分析揭示市场动态</w:t>
      </w:r>
    </w:p>
    <w:p>
      <w:r>
        <w:rPr>
          <w:rFonts w:ascii="等线(中文正文)" w:hAnsi="等线(中文正文)" w:cs="等线(中文正文)" w:eastAsia="等线(中文正文)"/>
          <w:b w:val="false"/>
          <w:i w:val="false"/>
          <w:sz w:val="20"/>
        </w:rPr>
        <w:t>对话深入探讨了大宗商品市场通过构建的三个关键因子：海外流动性、国内需求和供给冲击，进行监控。指出海外流动性因子虽边际转正但整体震荡，国内需求因子显示房地产承压，M1增速回落预示未来几个月需求可能持续承压。供给冲击因子本月显著变化，原油运输指数和裂解价差大幅上行，反映供给约束预期，推动能源价格上涨。展望8月，商品市场整体可能偏震荡，但能化板块存在结构性机会，建议关注高运价和炼厂利润背景下的原油补涨机会。</w:t>
      </w:r>
    </w:p>
    <w:p>
      <w:r>
        <w:rPr>
          <w:rFonts w:ascii="等线(中文正文)" w:hAnsi="等线(中文正文)" w:cs="等线(中文正文)" w:eastAsia="等线(中文正文)"/>
          <w:b w:val="false"/>
          <w:i w:val="false"/>
          <w:sz w:val="20"/>
        </w:rPr>
        <w:t/>
      </w:r>
    </w:p>
    <w:p>
      <w:pPr>
        <w:pStyle w:val="ab"/>
        <w:numPr>
          <w:numId w:val="12"/>
        </w:numPr>
      </w:pPr>
      <w:r>
        <w:t>43:39 保险配置与外资流向：稳健底仓与市场观察</w:t>
      </w:r>
    </w:p>
    <w:p>
      <w:r>
        <w:rPr>
          <w:rFonts w:ascii="等线(中文正文)" w:hAnsi="等线(中文正文)" w:cs="等线(中文正文)" w:eastAsia="等线(中文正文)"/>
          <w:b w:val="false"/>
          <w:i w:val="false"/>
          <w:sz w:val="20"/>
        </w:rPr>
        <w:t>分享了保险资金一季度配置情况，债券为主要资产，股票和基金比例温和提升。讨论了债券南向通对险资优化全球固收配置的重要性。分析了7月外资对中国股票资产的净流出趋势，强调了外资对盈利修复节奏的评估。未来将关注险资债券和权益配置优化，以及外资流入趋势。</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主持的线上会议中，详细探讨了大类资产配置、机构投资者行为以及全球市场展望。发言重点包括：1）对大类资产的展望，强调防御优先策略，并对股票和债券市场进行了布局建议；2）商品市场的分析，特别指出黄金市场与传统资产的相关性下降，能化资产存在交易机会；3）跟踪海外机构资金流动，指出七月出现相对明显的资金流出趋势；4）对A股市场估值与盈利增长的分析，认为市场估值压力虽有释放，但尚未达到极端高性价比水平；5）讨论了黄金市场的短期和中长期估值指标，指出美元指数和实际利率对金价的影响增强；6）提出了对于债券市场的展望，特别强调了南向通政策对险资的积极影响，以及外资对中国股票市场态度的谨慎。整体上，他强调在当前环境下，机构投资者应注重资产配置的优化和防御策略，同时关注市场流动性和政策变化对资产价格的影响。</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问：在上一期的线上会议中，你们提出了一个关于红利资产的观点，能具体说一下吗？对于本期大类资产和机构行为的展望，主要有哪些内容？</w:t>
      </w:r>
    </w:p>
    <w:p>
      <w:r>
        <w:rPr>
          <w:rFonts w:ascii="等线(中文正文)" w:hAnsi="等线(中文正文)" w:cs="等线(中文正文)" w:eastAsia="等线(中文正文)"/>
          <w:b w:val="false"/>
          <w:i w:val="false"/>
          <w:sz w:val="20"/>
        </w:rPr>
        <w:t>发言人1 答：上一期会议上，我们核心提到的观点是红利资产，尤其是股息率的风险溢价处于历史高性价比区间。从市场的后续走势来看，这一观点得到了验证。本期展望主要包括三个方面：首先，在股票和债券市场方面，我们强调防御优先，并据此进行相应布局；其次，针对商品市场，我们关注黄金与传统二级资产相关性的下降以及投机资金的消退，认为未来黄金能更好地实现分散化配置的功能；同时，对于能化等传统商品资产，由于供给冲击带来的交易机会值得关注，但也要考虑其对宏观层面的影响和对资产价格的冲击；最后，我们会持续跟踪海外机构资金流动情况，目前数据显示存在明显的流出趋势。</w:t>
      </w:r>
    </w:p>
    <w:p>
      <w:r>
        <w:rPr>
          <w:rFonts w:ascii="等线(中文正文)" w:hAnsi="等线(中文正文)" w:cs="等线(中文正文)" w:eastAsia="等线(中文正文)"/>
          <w:b w:val="false"/>
          <w:i w:val="false"/>
          <w:sz w:val="20"/>
        </w:rPr>
        <w:t/>
      </w:r>
    </w:p>
    <w:p>
      <w:pPr>
        <w:pStyle w:val="ab"/>
      </w:pPr>
      <w:r>
        <w:t>发言人1 问：你们对于八月份A股的整体配置观点是什么？对于八月份A股走势的展望是怎样的？</w:t>
      </w:r>
    </w:p>
    <w:p>
      <w:r>
        <w:rPr>
          <w:rFonts w:ascii="等线(中文正文)" w:hAnsi="等线(中文正文)" w:cs="等线(中文正文)" w:eastAsia="等线(中文正文)"/>
          <w:b w:val="false"/>
          <w:i w:val="false"/>
          <w:sz w:val="20"/>
        </w:rPr>
        <w:t>发言人1 答：八月份总体观点认为，当前市场估值压力虽有一定释放，但从绝对估值性价比上看还未达到极端高的水平。盈利增长层面，宏观层面并未显示出强劲修复迹象，宏观增长隐忧拖累了市场盈利增速预期。尽管七月份市场大幅超出预期，但我们认为大幅杀跌后整体估值压力得到明确释放。然而，由于盈利端情况仍偏弱，我们对中证800未来12个月全收益盈利增速预期虽有所提升，但提升幅度不会很大，综合评估并不支持对A股未来收益持过高期待。</w:t>
      </w:r>
    </w:p>
    <w:p>
      <w:r>
        <w:rPr>
          <w:rFonts w:ascii="等线(中文正文)" w:hAnsi="等线(中文正文)" w:cs="等线(中文正文)" w:eastAsia="等线(中文正文)"/>
          <w:b w:val="false"/>
          <w:i w:val="false"/>
          <w:sz w:val="20"/>
        </w:rPr>
        <w:t/>
      </w:r>
    </w:p>
    <w:p>
      <w:pPr>
        <w:pStyle w:val="ab"/>
      </w:pPr>
      <w:r>
        <w:t>发言人1 问：七月份A股市场的判断情况如何？</w:t>
      </w:r>
    </w:p>
    <w:p>
      <w:r>
        <w:rPr>
          <w:rFonts w:ascii="等线(中文正文)" w:hAnsi="等线(中文正文)" w:cs="等线(中文正文)" w:eastAsia="等线(中文正文)"/>
          <w:b w:val="false"/>
          <w:i w:val="false"/>
          <w:sz w:val="20"/>
        </w:rPr>
        <w:t>发言人1 答：七月份，我们对市场的大方向判断准确，考虑到基本面数据乏力及价量指标走弱，预计市场将呈现弱势震荡态势。结构上，红利板块因估值性价比高具有较强配置价值。</w:t>
      </w:r>
    </w:p>
    <w:p>
      <w:r>
        <w:rPr>
          <w:rFonts w:ascii="等线(中文正文)" w:hAnsi="等线(中文正文)" w:cs="等线(中文正文)" w:eastAsia="等线(中文正文)"/>
          <w:b w:val="false"/>
          <w:i w:val="false"/>
          <w:sz w:val="20"/>
        </w:rPr>
        <w:t/>
      </w:r>
    </w:p>
    <w:p>
      <w:pPr>
        <w:pStyle w:val="ab"/>
      </w:pPr>
      <w:r>
        <w:t>发言人1 问：当前A股估值和盈利增速的情况怎样？</w:t>
      </w:r>
    </w:p>
    <w:p>
      <w:r>
        <w:rPr>
          <w:rFonts w:ascii="等线(中文正文)" w:hAnsi="等线(中文正文)" w:cs="等线(中文正文)" w:eastAsia="等线(中文正文)"/>
          <w:b w:val="false"/>
          <w:i w:val="false"/>
          <w:sz w:val="20"/>
        </w:rPr>
        <w:t>发言人1 答：当前A股整体估值ERP为4.40水平，处于过去五年23%分位数和历史以来58%分位水平，估值只能说到了偏中性或合理区间，并未进入极端高性价比区间。从结构上看，七月份估值变化差异较大，下跌板块以小盘成长为主，而红利风格和大盘价值风格估值有所回升。在盈利端，总量内需数据脉冲M1增速仍在下滑，出口增速上升但未传导至固定资产投资和地产销售等领域，因此从总量和结构上都不支持对A股未来12个月盈利增速预期有明显变化，结论仍偏向偏弱状态。</w:t>
      </w:r>
    </w:p>
    <w:p>
      <w:r>
        <w:rPr>
          <w:rFonts w:ascii="等线(中文正文)" w:hAnsi="等线(中文正文)" w:cs="等线(中文正文)" w:eastAsia="等线(中文正文)"/>
          <w:b w:val="false"/>
          <w:i w:val="false"/>
          <w:sz w:val="20"/>
        </w:rPr>
        <w:t/>
      </w:r>
    </w:p>
    <w:p>
      <w:pPr>
        <w:pStyle w:val="ab"/>
      </w:pPr>
      <w:r>
        <w:t>发言人1 问：在历史上的四个类似结构的信号下，市场下跌后的走势有何特点？对于八月份全市场的观点是什么？</w:t>
      </w:r>
    </w:p>
    <w:p>
      <w:r>
        <w:rPr>
          <w:rFonts w:ascii="等线(中文正文)" w:hAnsi="等线(中文正文)" w:cs="等线(中文正文)" w:eastAsia="等线(中文正文)"/>
          <w:b w:val="false"/>
          <w:i w:val="false"/>
          <w:sz w:val="20"/>
        </w:rPr>
        <w:t>发言人1 答：历史数据显示，在类似的短期信号结构下，市场通常会在接近一个月的时间内出现明确的下跌。这一个月之后，市场往往不会立即V型反转，而是需要经历接下来的一个月或更长时间的震荡筑底过程。我们认为八月份整体市场可能呈现震荡筑底的状态，因此在权益风格和整体配置仓位上以防御优先为主。</w:t>
      </w:r>
    </w:p>
    <w:p>
      <w:r>
        <w:rPr>
          <w:rFonts w:ascii="等线(中文正文)" w:hAnsi="等线(中文正文)" w:cs="等线(中文正文)" w:eastAsia="等线(中文正文)"/>
          <w:b w:val="false"/>
          <w:i w:val="false"/>
          <w:sz w:val="20"/>
        </w:rPr>
        <w:t/>
      </w:r>
    </w:p>
    <w:p>
      <w:pPr>
        <w:pStyle w:val="ab"/>
      </w:pPr>
      <w:r>
        <w:t>发言人1 问：关于固定收益类资产，特别是利率债，你们有什么配置观点？</w:t>
      </w:r>
    </w:p>
    <w:p>
      <w:r>
        <w:rPr>
          <w:rFonts w:ascii="等线(中文正文)" w:hAnsi="等线(中文正文)" w:cs="等线(中文正文)" w:eastAsia="等线(中文正文)"/>
          <w:b w:val="false"/>
          <w:i w:val="false"/>
          <w:sz w:val="20"/>
        </w:rPr>
        <w:t>发言人1 答：对于利率债，我们从利率中枢模型和短期择时模型两个视角进行观察。中期维度上，根据ROSC模型判断，当前利率处于中性偏高水平；而从短期交易机会角度看，基于宏观基本面、机构资金交易行为及利率下降趋势等因素，目前宏观基本面模型显示利率债配置观点偏空，但程度不深；机构资金交易行为模型中，基金、券商和保险等机构的日度高频交易数据显示基金公司的整体观点是看多的。</w:t>
      </w:r>
    </w:p>
    <w:p>
      <w:r>
        <w:rPr>
          <w:rFonts w:ascii="等线(中文正文)" w:hAnsi="等线(中文正文)" w:cs="等线(中文正文)" w:eastAsia="等线(中文正文)"/>
          <w:b w:val="false"/>
          <w:i w:val="false"/>
          <w:sz w:val="20"/>
        </w:rPr>
        <w:t/>
      </w:r>
    </w:p>
    <w:p>
      <w:pPr>
        <w:pStyle w:val="ab"/>
      </w:pPr>
      <w:r>
        <w:t>发言人1 问：证券公司和保险公司的资金流动情况如何，以及他们的观点是什么？</w:t>
      </w:r>
    </w:p>
    <w:p>
      <w:r>
        <w:rPr>
          <w:rFonts w:ascii="等线(中文正文)" w:hAnsi="等线(中文正文)" w:cs="等线(中文正文)" w:eastAsia="等线(中文正文)"/>
          <w:b w:val="false"/>
          <w:i w:val="false"/>
          <w:sz w:val="20"/>
        </w:rPr>
        <w:t>发言人1 答：证券公司在七月上旬呈现短久期流出、长久期流入，随后转为长短久期同步流出，但这种流出被判断为被动的资金流动而非主动测试观点。整体上，目前证券公司的观点是中性偏多。保险公司的情况是短久期微小流入且长久期有较大流入，整体观点也偏向多头。因此，从机构资金交易行为视角得出的观点与基本面模型得出的观点不同，整体较为乐观。</w:t>
      </w:r>
    </w:p>
    <w:p>
      <w:r>
        <w:rPr>
          <w:rFonts w:ascii="等线(中文正文)" w:hAnsi="等线(中文正文)" w:cs="等线(中文正文)" w:eastAsia="等线(中文正文)"/>
          <w:b w:val="false"/>
          <w:i w:val="false"/>
          <w:sz w:val="20"/>
        </w:rPr>
        <w:t/>
      </w:r>
    </w:p>
    <w:p>
      <w:pPr>
        <w:pStyle w:val="ab"/>
      </w:pPr>
      <w:r>
        <w:t>发言人1 问：目前利率市场的主要观点是什么？</w:t>
      </w:r>
    </w:p>
    <w:p>
      <w:r>
        <w:rPr>
          <w:rFonts w:ascii="等线(中文正文)" w:hAnsi="等线(中文正文)" w:cs="等线(中文正文)" w:eastAsia="等线(中文正文)"/>
          <w:b w:val="false"/>
          <w:i w:val="false"/>
          <w:sz w:val="20"/>
        </w:rPr>
        <w:t>发言人1 答：基于日度价量视角识别利率突破形态，并参考支撑线和阻力线判断，五年期至十年期国债YTM曲线呈现出明显的下行突破趋势，而30年期YTM曲线从下行突破转为中性震荡，整体观点偏多。汇总三个模型（基本面模型、机构资金流动模型、下降趋势模型）的择时观点后，对利率市场的短期观点仍然是相对中性偏乐观。</w:t>
      </w:r>
    </w:p>
    <w:p>
      <w:r>
        <w:rPr>
          <w:rFonts w:ascii="等线(中文正文)" w:hAnsi="等线(中文正文)" w:cs="等线(中文正文)" w:eastAsia="等线(中文正文)"/>
          <w:b w:val="false"/>
          <w:i w:val="false"/>
          <w:sz w:val="20"/>
        </w:rPr>
        <w:t/>
      </w:r>
    </w:p>
    <w:p>
      <w:pPr>
        <w:pStyle w:val="ab"/>
      </w:pPr>
      <w:r>
        <w:t>发言人1 问：在长期业绩表现方面，哪些择时指标或模型表现较为稳定？</w:t>
      </w:r>
    </w:p>
    <w:p>
      <w:r>
        <w:rPr>
          <w:rFonts w:ascii="等线(中文正文)" w:hAnsi="等线(中文正文)" w:cs="等线(中文正文)" w:eastAsia="等线(中文正文)"/>
          <w:b w:val="false"/>
          <w:i w:val="false"/>
          <w:sz w:val="20"/>
        </w:rPr>
        <w:t>发言人1 答：各个择时指标或模型在年内及历史逐年业绩表现较为稳定。其中，机构资金交易行为模型和下降趋势突破模型在最新的七月底数据中表现稳定，年内的超额收益分别为52个BP和34个BP左右，且这两个模型的走势观点均偏多。</w:t>
      </w:r>
    </w:p>
    <w:p>
      <w:r>
        <w:rPr>
          <w:rFonts w:ascii="等线(中文正文)" w:hAnsi="等线(中文正文)" w:cs="等线(中文正文)" w:eastAsia="等线(中文正文)"/>
          <w:b w:val="false"/>
          <w:i w:val="false"/>
          <w:sz w:val="20"/>
        </w:rPr>
        <w:t/>
      </w:r>
    </w:p>
    <w:p>
      <w:pPr>
        <w:pStyle w:val="ab"/>
      </w:pPr>
      <w:r>
        <w:t>发言人1 问：对于可转债市场的估值情况如何？</w:t>
      </w:r>
    </w:p>
    <w:p>
      <w:r>
        <w:rPr>
          <w:rFonts w:ascii="等线(中文正文)" w:hAnsi="等线(中文正文)" w:cs="等线(中文正文)" w:eastAsia="等线(中文正文)"/>
          <w:b w:val="false"/>
          <w:i w:val="false"/>
          <w:sz w:val="20"/>
        </w:rPr>
        <w:t>发言人1 答：当前可转债整体估值处于相对合理定价水平。从转债期权估值看，市场溢价程度较深，但经过考虑供需关系调整后，市场定价偏离度数据回调至2.9%左右，表明当前转债市场从期权估值角度看定价相对合理甚至略有低估。另外，从正股贝塔维度看，PB中位数指标目前在50分位数左右震荡，配置观点维持偏中性。</w:t>
      </w:r>
    </w:p>
    <w:p>
      <w:r>
        <w:rPr>
          <w:rFonts w:ascii="等线(中文正文)" w:hAnsi="等线(中文正文)" w:cs="等线(中文正文)" w:eastAsia="等线(中文正文)"/>
          <w:b w:val="false"/>
          <w:i w:val="false"/>
          <w:sz w:val="20"/>
        </w:rPr>
        <w:t/>
      </w:r>
    </w:p>
    <w:p>
      <w:pPr>
        <w:pStyle w:val="ab"/>
      </w:pPr>
      <w:r>
        <w:t>发言人1 问：固收多资产策略组合的表现及配置观点如何？</w:t>
      </w:r>
    </w:p>
    <w:p>
      <w:r>
        <w:rPr>
          <w:rFonts w:ascii="等线(中文正文)" w:hAnsi="等线(中文正文)" w:cs="等线(中文正文)" w:eastAsia="等线(中文正文)"/>
          <w:b w:val="false"/>
          <w:i w:val="false"/>
          <w:sz w:val="20"/>
        </w:rPr>
        <w:t>发言人1 答：固收多资产策略组合自年初以来的绝对收益约为2.5%，超额收益在10到20个BP左右。组合最新配置观点为标配转债，超配长债，低配短债，并将持续关注后续业绩表现。</w:t>
      </w:r>
    </w:p>
    <w:p>
      <w:r>
        <w:rPr>
          <w:rFonts w:ascii="等线(中文正文)" w:hAnsi="等线(中文正文)" w:cs="等线(中文正文)" w:eastAsia="等线(中文正文)"/>
          <w:b w:val="false"/>
          <w:i w:val="false"/>
          <w:sz w:val="20"/>
        </w:rPr>
        <w:t/>
      </w:r>
    </w:p>
    <w:p>
      <w:pPr>
        <w:pStyle w:val="ab"/>
      </w:pPr>
      <w:r>
        <w:t>发言人1 问：近期黄金的价格走势及影响因素是什么？</w:t>
      </w:r>
    </w:p>
    <w:p>
      <w:r>
        <w:rPr>
          <w:rFonts w:ascii="等线(中文正文)" w:hAnsi="等线(中文正文)" w:cs="等线(中文正文)" w:eastAsia="等线(中文正文)"/>
          <w:b w:val="false"/>
          <w:i w:val="false"/>
          <w:sz w:val="20"/>
        </w:rPr>
        <w:t>发言人1 答：七月份黄金价格在4000美元附近震荡，相比六月底上涨约2%。尽管短期内联储加息风险暂时缓解，但中期压力并未完全消除，尤其是美元指数和实际利率对金价反弹仍有压制作用。短期内避险并非黄金的主要驱动因素，而美元指数和实际利率与金价的相关性增强，尤其是短期实际利率和美元指数对金价的影响有所提升。</w:t>
      </w:r>
    </w:p>
    <w:p>
      <w:r>
        <w:rPr>
          <w:rFonts w:ascii="等线(中文正文)" w:hAnsi="等线(中文正文)" w:cs="等线(中文正文)" w:eastAsia="等线(中文正文)"/>
          <w:b w:val="false"/>
          <w:i w:val="false"/>
          <w:sz w:val="20"/>
        </w:rPr>
        <w:t/>
      </w:r>
    </w:p>
    <w:p>
      <w:pPr>
        <w:pStyle w:val="ab"/>
      </w:pPr>
      <w:r>
        <w:t>发言人1 问：七月份美元指数的表现如何，以及其对黄金市场的影响是什么？</w:t>
      </w:r>
    </w:p>
    <w:p>
      <w:r>
        <w:rPr>
          <w:rFonts w:ascii="等线(中文正文)" w:hAnsi="等线(中文正文)" w:cs="等线(中文正文)" w:eastAsia="等线(中文正文)"/>
          <w:b w:val="false"/>
          <w:i w:val="false"/>
          <w:sz w:val="20"/>
        </w:rPr>
        <w:t>发言人1 答：在七月份，美元指数整体呈现震荡走势，截至7月30号收盘约为99.98，较上个月末下降约一个点。这一跌幅主要集中在联储会议及其后两个交易日，可能是由于市场对于紧缩预期已有所定价，导致短线交易出现了回吐现象。此外，实际利率持续上行至2.4%，连续上升两个半月，限制了黄金反弹的空间。</w:t>
      </w:r>
    </w:p>
    <w:p>
      <w:r>
        <w:rPr>
          <w:rFonts w:ascii="等线(中文正文)" w:hAnsi="等线(中文正文)" w:cs="等线(中文正文)" w:eastAsia="等线(中文正文)"/>
          <w:b w:val="false"/>
          <w:i w:val="false"/>
          <w:sz w:val="20"/>
        </w:rPr>
        <w:t/>
      </w:r>
    </w:p>
    <w:p>
      <w:pPr>
        <w:pStyle w:val="ab"/>
      </w:pPr>
      <w:r>
        <w:t>发言人1 问：黄金ETF的持有量情况如何，以及投资需求的变化趋势如何？</w:t>
      </w:r>
    </w:p>
    <w:p>
      <w:r>
        <w:rPr>
          <w:rFonts w:ascii="等线(中文正文)" w:hAnsi="等线(中文正文)" w:cs="等线(中文正文)" w:eastAsia="等线(中文正文)"/>
          <w:b w:val="false"/>
          <w:i w:val="false"/>
          <w:sz w:val="20"/>
        </w:rPr>
        <w:t>发言人1 答：全球黄金ETF持有量自今年3月以来整体呈现净流出状态，六月份减少了74吨，减幅较五月明显扩大。其中，SPDR黄金EETF在七月份持有量基本维持不变，表明短期内投资需求有降温趋势。</w:t>
      </w:r>
    </w:p>
    <w:p>
      <w:r>
        <w:rPr>
          <w:rFonts w:ascii="等线(中文正文)" w:hAnsi="等线(中文正文)" w:cs="等线(中文正文)" w:eastAsia="等线(中文正文)"/>
          <w:b w:val="false"/>
          <w:i w:val="false"/>
          <w:sz w:val="20"/>
        </w:rPr>
        <w:t/>
      </w:r>
    </w:p>
    <w:p>
      <w:pPr>
        <w:pStyle w:val="ab"/>
      </w:pPr>
      <w:r>
        <w:t>发言人1 问：从衍生品市场看，期限基差和隐含波动率的变化对黄金市场有何影响？</w:t>
      </w:r>
    </w:p>
    <w:p>
      <w:r>
        <w:rPr>
          <w:rFonts w:ascii="等线(中文正文)" w:hAnsi="等线(中文正文)" w:cs="等线(中文正文)" w:eastAsia="等线(中文正文)"/>
          <w:b w:val="false"/>
          <w:i w:val="false"/>
          <w:sz w:val="20"/>
        </w:rPr>
        <w:t>发言人1 答：七月份，期限基差明显收敛，平均值约为16美元，位于过去三年56%分位数水平，而上个月末则接近81%分位数。隐含波动率已经脱离高估区间，进入相对较低的状态，三点分位数下穿80%，意味着市场预期有所走弱，但风险已显著降低。</w:t>
      </w:r>
    </w:p>
    <w:p>
      <w:r>
        <w:rPr>
          <w:rFonts w:ascii="等线(中文正文)" w:hAnsi="等线(中文正文)" w:cs="等线(中文正文)" w:eastAsia="等线(中文正文)"/>
          <w:b w:val="false"/>
          <w:i w:val="false"/>
          <w:sz w:val="20"/>
        </w:rPr>
        <w:t/>
      </w:r>
    </w:p>
    <w:p>
      <w:pPr>
        <w:pStyle w:val="ab"/>
      </w:pPr>
      <w:r>
        <w:t>发言人1 问：中长期维度下，中国和全球官方黄金储备的情况如何？</w:t>
      </w:r>
    </w:p>
    <w:p>
      <w:r>
        <w:rPr>
          <w:rFonts w:ascii="等线(中文正文)" w:hAnsi="等线(中文正文)" w:cs="等线(中文正文)" w:eastAsia="等线(中文正文)"/>
          <w:b w:val="false"/>
          <w:i w:val="false"/>
          <w:sz w:val="20"/>
        </w:rPr>
        <w:t>发言人1 答：中国和全球官方黄金储备在七月最新数据中仍保持缓解增加的趋势，虽然对应的时间点可能为五月份，但并未出现反转迹象。从中长期估值指标看，美元计价黄金以上储备货币M2的估值分位数约为70%，在连续四个月下跌后有所反弹，但剩余上行空间较大。</w:t>
      </w:r>
    </w:p>
    <w:p>
      <w:r>
        <w:rPr>
          <w:rFonts w:ascii="等线(中文正文)" w:hAnsi="等线(中文正文)" w:cs="等线(中文正文)" w:eastAsia="等线(中文正文)"/>
          <w:b w:val="false"/>
          <w:i w:val="false"/>
          <w:sz w:val="20"/>
        </w:rPr>
        <w:t/>
      </w:r>
    </w:p>
    <w:p>
      <w:pPr>
        <w:pStyle w:val="ab"/>
      </w:pPr>
      <w:r>
        <w:t>发言人1 问：当前对于黄金市场的择时信号是什么样的？</w:t>
      </w:r>
    </w:p>
    <w:p>
      <w:r>
        <w:rPr>
          <w:rFonts w:ascii="等线(中文正文)" w:hAnsi="等线(中文正文)" w:cs="等线(中文正文)" w:eastAsia="等线(中文正文)"/>
          <w:b w:val="false"/>
          <w:i w:val="false"/>
          <w:sz w:val="20"/>
        </w:rPr>
        <w:t>发言人1 答：目前有五个择时指标，其中三个配置信号和两个交易信号，只有EPU指数维持看多逻辑。官方黄金储备的增长幅度可能有所缩减，没有提供明确的看多信号；配置层面给出空仓建议；引波趋势信号显示市场已脱离高波动阶段，但整体趋势下行，同样指向空仓；期限基差的显著收敛也使得短期投资需求显得疲弱。</w:t>
      </w:r>
    </w:p>
    <w:p>
      <w:r>
        <w:rPr>
          <w:rFonts w:ascii="等线(中文正文)" w:hAnsi="等线(中文正文)" w:cs="等线(中文正文)" w:eastAsia="等线(中文正文)"/>
          <w:b w:val="false"/>
          <w:i w:val="false"/>
          <w:sz w:val="20"/>
        </w:rPr>
        <w:t/>
      </w:r>
    </w:p>
    <w:p>
      <w:pPr>
        <w:pStyle w:val="ab"/>
      </w:pPr>
      <w:r>
        <w:t>发言人1 问：对于黄金市场的中期展望以及近期影响因素有哪些？</w:t>
      </w:r>
    </w:p>
    <w:p>
      <w:r>
        <w:rPr>
          <w:rFonts w:ascii="等线(中文正文)" w:hAnsi="等线(中文正文)" w:cs="等线(中文正文)" w:eastAsia="等线(中文正文)"/>
          <w:b w:val="false"/>
          <w:i w:val="false"/>
          <w:sz w:val="20"/>
        </w:rPr>
        <w:t>发言人1 答：虽然联储维持利率不变减轻了市场紧缩预期担忧，美元指数阶段性回落，金价大幅回撤风险降低，但实际利率上行增强了其与黄金的负相关性，且黄金ETF资金流出及期现基差趋于收敛，表明短期投资需求疲软。中长期来看，趋势性上涨需要通胀水平达标、美国就业数据疲软以及权益市场投资降温等明确信号。此外，公募FOF黄金配置数据显示，黄金配置比例有所下降，从高仓位转向审慎持有。</w:t>
      </w:r>
    </w:p>
    <w:p>
      <w:r>
        <w:rPr>
          <w:rFonts w:ascii="等线(中文正文)" w:hAnsi="等线(中文正文)" w:cs="等线(中文正文)" w:eastAsia="等线(中文正文)"/>
          <w:b w:val="false"/>
          <w:i w:val="false"/>
          <w:sz w:val="20"/>
        </w:rPr>
        <w:t/>
      </w:r>
    </w:p>
    <w:p>
      <w:pPr>
        <w:pStyle w:val="ab"/>
      </w:pPr>
      <w:r>
        <w:t>发言人1 问：在第一轮冲突爆发时，资产价格出现了怎样的波动？</w:t>
      </w:r>
    </w:p>
    <w:p>
      <w:r>
        <w:rPr>
          <w:rFonts w:ascii="等线(中文正文)" w:hAnsi="等线(中文正文)" w:cs="等线(中文正文)" w:eastAsia="等线(中文正文)"/>
          <w:b w:val="false"/>
          <w:i w:val="false"/>
          <w:sz w:val="20"/>
        </w:rPr>
        <w:t>发言人1 答：在第一轮冲突爆发前的预期阶段，以原油为首的能化链产品价格就开始大幅上涨。当冲突正式爆发后，这类资产的价格涨幅更为显著，而像铜这样的风险偏好型资产则受到明显压制。此外，黑色商品和农产品也在炒作之下，尤其是由于运费上涨等理由，出现了大幅上涨。</w:t>
      </w:r>
    </w:p>
    <w:p>
      <w:r>
        <w:rPr>
          <w:rFonts w:ascii="等线(中文正文)" w:hAnsi="等线(中文正文)" w:cs="等线(中文正文)" w:eastAsia="等线(中文正文)"/>
          <w:b w:val="false"/>
          <w:i w:val="false"/>
          <w:sz w:val="20"/>
        </w:rPr>
        <w:t/>
      </w:r>
    </w:p>
    <w:p>
      <w:pPr>
        <w:pStyle w:val="ab"/>
      </w:pPr>
      <w:r>
        <w:t>发言人1 问：第二轮冲突相较于第一轮有哪些不同表现？</w:t>
      </w:r>
    </w:p>
    <w:p>
      <w:r>
        <w:rPr>
          <w:rFonts w:ascii="等线(中文正文)" w:hAnsi="等线(中文正文)" w:cs="等线(中文正文)" w:eastAsia="等线(中文正文)"/>
          <w:b w:val="false"/>
          <w:i w:val="false"/>
          <w:sz w:val="20"/>
        </w:rPr>
        <w:t>发言人1 答：第二轮冲突期间，原油的价格涨幅相比第一轮显著收窄，并且在冲突缓和后有所回调。同时，其他商品资产对冲突的反应呈现出钝化趋势，如铜和铝等有色金属更多受到自身供需状况的影响；而黑色和农产品则在交易各自的逻辑，而非过多关注地缘冲突。</w:t>
      </w:r>
    </w:p>
    <w:p>
      <w:r>
        <w:rPr>
          <w:rFonts w:ascii="等线(中文正文)" w:hAnsi="等线(中文正文)" w:cs="等线(中文正文)" w:eastAsia="等线(中文正文)"/>
          <w:b w:val="false"/>
          <w:i w:val="false"/>
          <w:sz w:val="20"/>
        </w:rPr>
        <w:t/>
      </w:r>
    </w:p>
    <w:p>
      <w:pPr>
        <w:pStyle w:val="ab"/>
      </w:pPr>
      <w:r>
        <w:t>发言人1 问：为什么第一轮冲突后大宗商品价格涨幅更为剧烈？</w:t>
      </w:r>
    </w:p>
    <w:p>
      <w:r>
        <w:rPr>
          <w:rFonts w:ascii="等线(中文正文)" w:hAnsi="等线(中文正文)" w:cs="等线(中文正文)" w:eastAsia="等线(中文正文)"/>
          <w:b w:val="false"/>
          <w:i w:val="false"/>
          <w:sz w:val="20"/>
        </w:rPr>
        <w:t>发言人1 答：第一轮冲突时，市场面对高度不确定性，包括冲突持续时间、断供持续多久以及产油国状况等均未知，导致市场恐慌性买入，推高了能化品种价格，而铜等风险资产则出现明显回调。这一轮是由未知因素驱动市场的主线。</w:t>
      </w:r>
    </w:p>
    <w:p>
      <w:r>
        <w:rPr>
          <w:rFonts w:ascii="等线(中文正文)" w:hAnsi="等线(中文正文)" w:cs="等线(中文正文)" w:eastAsia="等线(中文正文)"/>
          <w:b w:val="false"/>
          <w:i w:val="false"/>
          <w:sz w:val="20"/>
        </w:rPr>
        <w:t/>
      </w:r>
    </w:p>
    <w:p>
      <w:pPr>
        <w:pStyle w:val="ab"/>
      </w:pPr>
      <w:r>
        <w:t>发言人1 问：第二轮冲突开始时市场是如何反应的？从定量分析角度看，市场对地缘冲突的敏感度如何变化？</w:t>
      </w:r>
    </w:p>
    <w:p>
      <w:r>
        <w:rPr>
          <w:rFonts w:ascii="等线(中文正文)" w:hAnsi="等线(中文正文)" w:cs="等线(中文正文)" w:eastAsia="等线(中文正文)"/>
          <w:b w:val="false"/>
          <w:i w:val="false"/>
          <w:sz w:val="20"/>
        </w:rPr>
        <w:t>发言人1 答：第二轮冲突开始时，市场反应相对缓慢。从六月底开始，尽管有传闻称谅解备忘录无效，但市场并未立即做出剧烈反应，直到冲突真正再次升级并导致霍尔木斯海峡封锁后，市场才逐渐明确并明显上涨，且涨幅逐渐收敛至原油能化板块。定量分析显示，在第一轮冲突后，市场敏感性出现走平状态，但在滚动12周的数据检验下，敏感性逐渐收敛，只有原油仍受到明显驱动。现在，除了能化板块外，市场对地缘冲突的敏感度开始下降，关注点转向事件的实际影响层面。</w:t>
      </w:r>
    </w:p>
    <w:p>
      <w:r>
        <w:rPr>
          <w:rFonts w:ascii="等线(中文正文)" w:hAnsi="等线(中文正文)" w:cs="等线(中文正文)" w:eastAsia="等线(中文正文)"/>
          <w:b w:val="false"/>
          <w:i w:val="false"/>
          <w:sz w:val="20"/>
        </w:rPr>
        <w:t/>
      </w:r>
    </w:p>
    <w:p>
      <w:pPr>
        <w:pStyle w:val="ab"/>
      </w:pPr>
      <w:r>
        <w:t>发言人1 问：此轮冲突对商品价格的影响有哪些特点？</w:t>
      </w:r>
    </w:p>
    <w:p>
      <w:r>
        <w:rPr>
          <w:rFonts w:ascii="等线(中文正文)" w:hAnsi="等线(中文正文)" w:cs="等线(中文正文)" w:eastAsia="等线(中文正文)"/>
          <w:b w:val="false"/>
          <w:i w:val="false"/>
          <w:sz w:val="20"/>
        </w:rPr>
        <w:t>发言人1 答：此轮冲突下，原油和能化链商品依然受到较大冲击，但涨幅出现分化。其中，原油涨幅较大，而PTA等化工品涨幅较小，因为市场开始更多关注基本面，而基本面数据显示相关开工率有所下降。此外，铜和铝在前期已有较大涨幅，在此轮冲突中价格依然坚挺，主要是因为铜矿供应紧张，精炼铜处于紧供应状态，价格受到基本面支撑，而非单纯交易风险地缘因素。</w:t>
      </w:r>
    </w:p>
    <w:p>
      <w:r>
        <w:rPr>
          <w:rFonts w:ascii="等线(中文正文)" w:hAnsi="等线(中文正文)" w:cs="等线(中文正文)" w:eastAsia="等线(中文正文)"/>
          <w:b w:val="false"/>
          <w:i w:val="false"/>
          <w:sz w:val="20"/>
        </w:rPr>
        <w:t/>
      </w:r>
    </w:p>
    <w:p>
      <w:pPr>
        <w:pStyle w:val="ab"/>
      </w:pPr>
      <w:r>
        <w:t>发言人1 问：大宗商品三因子环境监测中，海外流动性、国内需求和供给冲击这三个因子分别指向什么？在当前环境下，国内黑色商品及能化板块会有什么表现？</w:t>
      </w:r>
    </w:p>
    <w:p>
      <w:r>
        <w:rPr>
          <w:rFonts w:ascii="等线(中文正文)" w:hAnsi="等线(中文正文)" w:cs="等线(中文正文)" w:eastAsia="等线(中文正文)"/>
          <w:b w:val="false"/>
          <w:i w:val="false"/>
          <w:sz w:val="20"/>
        </w:rPr>
        <w:t>发言人1 答：海外流动性因子目前处于震荡状态，边际转正但仍有波动；国内需求因子则显示整体国内需求偏弱，房地产行业承压，并且从M1同比增速回落这一领先性指标来看，未来几个月内国内需求可能继续保持承压态势。预计在没有外部政策出台的情况下，国内黑色商品及以国内需求为主导的商品将保持承压状态。供给冲击因子是本月变化最大的点，由于运价和炼厂利润大幅扩张，尤其是原油价格在地缘政治推动下出现显著上涨，导致供给约束预期变为确定事实，从而使得能源类商品在8月份可能因流动性因素如铜等商品的影响而呈现震荡态势，但结构性机会依然存在，建议关注能化板块的商品、ETF或LOF投资机会。</w:t>
      </w:r>
    </w:p>
    <w:p>
      <w:r>
        <w:rPr>
          <w:rFonts w:ascii="等线(中文正文)" w:hAnsi="等线(中文正文)" w:cs="等线(中文正文)" w:eastAsia="等线(中文正文)"/>
          <w:b w:val="false"/>
          <w:i w:val="false"/>
          <w:sz w:val="20"/>
        </w:rPr>
        <w:t/>
      </w:r>
    </w:p>
    <w:p>
      <w:pPr>
        <w:pStyle w:val="ab"/>
      </w:pPr>
      <w:r>
        <w:t>发言人1 问：对于保险资金配置情况及海外资金对中国股票资产的看法如何？</w:t>
      </w:r>
    </w:p>
    <w:p>
      <w:r>
        <w:rPr>
          <w:rFonts w:ascii="等线(中文正文)" w:hAnsi="等线(中文正文)" w:cs="等线(中文正文)" w:eastAsia="等线(中文正文)"/>
          <w:b w:val="false"/>
          <w:i w:val="false"/>
          <w:sz w:val="20"/>
        </w:rPr>
        <w:t>发言人1 答：保险资金运用规模持续扩张，债券仍是主要的压舱石配置类别，一季度保险资金应用余额达到39.44万亿元，其中债券配置占比50.5%，权益类资产（股票和证券投资基金）占比温和提升至15.4%。海外资金在七月对中国股票资产呈现净流出状态，尤其对头部中国股票ETF的流入放缓并转向净流出，这反映出外资对中国资产盈利修复节奏的谨慎评估。同时，债券南向通政策实施有助于险资拓宽固收投资收益来源，提升全球资产配置能力，并提供更好的久期和现金流管理工具。</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2026-08-03T14:40:37Z</dcterms:created>
  <dc:creator>Apache POI</dc:creator>
</cp:coreProperties>
</file>