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新东方 260729_导读</w:t>
      </w:r>
    </w:p>
    <w:p>
      <w:pPr>
        <w:pStyle w:val="a0"/>
        <w:jc w:val="center"/>
      </w:pPr>
      <w:r>
        <w:t>2026年07月30日 22:58</w:t>
      </w:r>
    </w:p>
    <w:p>
      <w:pPr>
        <w:pStyle w:val="a7"/>
      </w:pPr>
      <w:r>
        <w:t>关键词</w:t>
      </w:r>
    </w:p>
    <w:p>
      <w:r>
        <w:rPr>
          <w:rFonts w:ascii="等线(中文正文)" w:hAnsi="等线(中文正文)" w:cs="等线(中文正文)" w:eastAsia="等线(中文正文)"/>
          <w:b w:val="false"/>
          <w:i w:val="false"/>
          <w:sz w:val="20"/>
        </w:rPr>
        <w:t xml:space="preserve">quarter OMO Operating margins Operating income revenue growth 关注公众号 learning experience learning efficiency customers terms physical expenses platform control education business education products accelerate revenue product quality annual guidance margin outlook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新东方公布了2023财年第四季度和全年财务业绩，收入和经营收入分别同比增长23%和34.7%，显示公司强劲的财务表现和业务增长。面对经济逆风，新东方通过强化财务状况和满足客户需求，展现了韧性和盈利能力。公司预计2024财年总收入同比增长15%至18%，并计划扩大业务容量10%至15%，同时采取成本控制措施提升利润率。新东方宣布股票回购计划，全年总额预计达2亿美元，增强投资者回报。此外，公司对AI技术在提高教学质量和效率、优化管理和降低成本方面的作用表示重视，计划推出更多基于AI的新产品和解决方案，以提高运营效率和产品差异化，展望未来，新东方对教育行业内的竞争力和增长潜力充满信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新东方SY2026年第四季度财报会议</w:t>
      </w:r>
    </w:p>
    <w:p>
      <w:r>
        <w:rPr>
          <w:rFonts w:ascii="等线(中文正文)" w:hAnsi="等线(中文正文)" w:cs="等线(中文正文)" w:eastAsia="等线(中文正文)"/>
          <w:b w:val="false"/>
          <w:i w:val="false"/>
          <w:sz w:val="20"/>
        </w:rPr>
        <w:t>会议主持人介绍了新东方SY2026年第四季度的财务成果与业务更新，提醒参与者注意未来预测可能存在的风险与不确定性，并概述了财务预测的法律保护措施。随后，主持人将会议交予财务负责人，共同深入分析财务状况并准备回答参会者的问题。会议全程将被记录，网络直播将在公司投资者关系网站上提供。</w:t>
      </w:r>
    </w:p>
    <w:p>
      <w:r>
        <w:rPr>
          <w:rFonts w:ascii="等线(中文正文)" w:hAnsi="等线(中文正文)" w:cs="等线(中文正文)" w:eastAsia="等线(中文正文)"/>
          <w:b w:val="false"/>
          <w:i w:val="false"/>
          <w:sz w:val="20"/>
        </w:rPr>
        <w:t/>
      </w:r>
    </w:p>
    <w:p>
      <w:pPr>
        <w:pStyle w:val="ab"/>
        <w:numPr>
          <w:numId w:val="2"/>
        </w:numPr>
      </w:pPr>
      <w:r>
        <w:t>02:02 公司业绩增长与新业务拓展</w:t>
      </w:r>
    </w:p>
    <w:p>
      <w:r>
        <w:rPr>
          <w:rFonts w:ascii="等线(中文正文)" w:hAnsi="等线(中文正文)" w:cs="等线(中文正文)" w:eastAsia="等线(中文正文)"/>
          <w:b w:val="false"/>
          <w:i w:val="false"/>
          <w:sz w:val="20"/>
        </w:rPr>
        <w:t>公司在最新季度实现了超出预期的收入和利润增长，核心业务与新创业务均表现出色。教育科技业务覆盖60个城市，智能学习系统显著提升客户留存与扩展性。文化旅游业务在55个城市运营，优质成人旅游产品遍及30个省份。公司持续投资OMO平台升级，嵌入AI技术以创新产品和优化运营，支持业务增长。</w:t>
      </w:r>
    </w:p>
    <w:p>
      <w:r>
        <w:rPr>
          <w:rFonts w:ascii="等线(中文正文)" w:hAnsi="等线(中文正文)" w:cs="等线(中文正文)" w:eastAsia="等线(中文正文)"/>
          <w:b w:val="false"/>
          <w:i w:val="false"/>
          <w:sz w:val="20"/>
        </w:rPr>
        <w:t/>
      </w:r>
    </w:p>
    <w:p>
      <w:pPr>
        <w:pStyle w:val="ab"/>
        <w:numPr>
          <w:numId w:val="3"/>
        </w:numPr>
      </w:pPr>
      <w:r>
        <w:t>06:43 AI教育平台与家庭服务生态系统的创新与扩展</w:t>
      </w:r>
    </w:p>
    <w:p>
      <w:r>
        <w:rPr>
          <w:rFonts w:ascii="等线(中文正文)" w:hAnsi="等线(中文正文)" w:cs="等线(中文正文)" w:eastAsia="等线(中文正文)"/>
          <w:b w:val="false"/>
          <w:i w:val="false"/>
          <w:sz w:val="20"/>
        </w:rPr>
        <w:t>一家公司自豪地宣布其AI驱动的个性化学习平台在首次部署后25天内实现初步销售，验证了市场吸引力和产品适应性。该平台专注于垂直学习领域，与大型语言模型不同，旨在提升教育质量和效率。公司承诺维持高标准产品、服务和成本效益，同时扩展线下体验和供应链网络，以支持长期可持续增长。此外，公司推出“东方家”平台，整合教育服务、文化旅游产品，为家庭提供全生命周期服务，早期用户反馈积极，用户留存率提升，成本效率优化，成功促进跨业务线的销售和运营效率。</w:t>
      </w:r>
    </w:p>
    <w:p>
      <w:r>
        <w:rPr>
          <w:rFonts w:ascii="等线(中文正文)" w:hAnsi="等线(中文正文)" w:cs="等线(中文正文)" w:eastAsia="等线(中文正文)"/>
          <w:b w:val="false"/>
          <w:i w:val="false"/>
          <w:sz w:val="20"/>
        </w:rPr>
        <w:t/>
      </w:r>
    </w:p>
    <w:p>
      <w:pPr>
        <w:pStyle w:val="ab"/>
        <w:numPr>
          <w:numId w:val="4"/>
        </w:numPr>
      </w:pPr>
      <w:r>
        <w:t>11:54 电商平台第四季度财务业绩与未来展望</w:t>
      </w:r>
    </w:p>
    <w:p>
      <w:r>
        <w:rPr>
          <w:rFonts w:ascii="等线(中文正文)" w:hAnsi="等线(中文正文)" w:cs="等线(中文正文)" w:eastAsia="等线(中文正文)"/>
          <w:b w:val="false"/>
          <w:i w:val="false"/>
          <w:sz w:val="20"/>
        </w:rPr>
        <w:t>电商平台在第四季度实现了累计活动参与率70%和最新活动激活率23%的成绩，展示了教育领域私域流量的优势。财务方面，运营成本与收入增长，尽管营销和研发支出增加，但运营收入显著提升，达到8580万美元，同比增长显著。现金流入稳健，期末现金及现金等价物总额达18202万美元。展望未来，公司预计2027财年总收入将在646390万美元至668230万美元之间，同比增长14%至18%，并启动了股票回购计划以增强股东价值。</w:t>
      </w:r>
    </w:p>
    <w:p>
      <w:r>
        <w:rPr>
          <w:rFonts w:ascii="等线(中文正文)" w:hAnsi="等线(中文正文)" w:cs="等线(中文正文)" w:eastAsia="等线(中文正文)"/>
          <w:b w:val="false"/>
          <w:i w:val="false"/>
          <w:sz w:val="20"/>
        </w:rPr>
        <w:t/>
      </w:r>
    </w:p>
    <w:p>
      <w:pPr>
        <w:pStyle w:val="ab"/>
        <w:numPr>
          <w:numId w:val="5"/>
        </w:numPr>
      </w:pPr>
      <w:r>
        <w:t>19:12 公司宣布股东回报计划与股票回购</w:t>
      </w:r>
    </w:p>
    <w:p>
      <w:r>
        <w:rPr>
          <w:rFonts w:ascii="等线(中文正文)" w:hAnsi="等线(中文正文)" w:cs="等线(中文正文)" w:eastAsia="等线(中文正文)"/>
          <w:b w:val="false"/>
          <w:i w:val="false"/>
          <w:sz w:val="20"/>
        </w:rPr>
        <w:t>公司宣布了股东回报计划，包括现金分红和股票回购，预计全年资本回报达5亿美元，其中现金分红3亿美元，股票回购上限2000万美元。计划通过公开市场或私下交易进行，具体细节将由董事会决定并公告。公司承诺持续增长，为股东创造长期价值，同时严格遵守政策法规，适应市场变化。</w:t>
      </w:r>
    </w:p>
    <w:p>
      <w:r>
        <w:rPr>
          <w:rFonts w:ascii="等线(中文正文)" w:hAnsi="等线(中文正文)" w:cs="等线(中文正文)" w:eastAsia="等线(中文正文)"/>
          <w:b w:val="false"/>
          <w:i w:val="false"/>
          <w:sz w:val="20"/>
        </w:rPr>
        <w:t/>
      </w:r>
    </w:p>
    <w:p>
      <w:pPr>
        <w:pStyle w:val="ab"/>
        <w:numPr>
          <w:numId w:val="6"/>
        </w:numPr>
      </w:pPr>
      <w:r>
        <w:t>22:14 公司展望2027年业绩，强调长期增长与盈利能力</w:t>
      </w:r>
    </w:p>
    <w:p>
      <w:r>
        <w:rPr>
          <w:rFonts w:ascii="等线(中文正文)" w:hAnsi="等线(中文正文)" w:cs="等线(中文正文)" w:eastAsia="等线(中文正文)"/>
          <w:b w:val="false"/>
          <w:i w:val="false"/>
          <w:sz w:val="20"/>
        </w:rPr>
        <w:t>公司对其在2026年的策略调整及成效表示乐观，包括提升产品和服务质量，推动了学生留存率的上升。基于当前的积极势头，公司对2027财年的业绩预期更为看好，预计全年收入增长15%-18%，并预计第一季度将持续保持增长趋势。公司同时强调，将重点关注全年的盈利能力，通过成本控制和效率提升，预计2027年的利润率将持续改善。</w:t>
      </w:r>
    </w:p>
    <w:p>
      <w:r>
        <w:rPr>
          <w:rFonts w:ascii="等线(中文正文)" w:hAnsi="等线(中文正文)" w:cs="等线(中文正文)" w:eastAsia="等线(中文正文)"/>
          <w:b w:val="false"/>
          <w:i w:val="false"/>
          <w:sz w:val="20"/>
        </w:rPr>
        <w:t/>
      </w:r>
    </w:p>
    <w:p>
      <w:pPr>
        <w:pStyle w:val="ab"/>
        <w:numPr>
          <w:numId w:val="7"/>
        </w:numPr>
      </w:pPr>
      <w:r>
        <w:t>28:00 关于第四季度业务展望与未来年度营收增长预测的讨论</w:t>
      </w:r>
    </w:p>
    <w:p>
      <w:r>
        <w:rPr>
          <w:rFonts w:ascii="等线(中文正文)" w:hAnsi="等线(中文正文)" w:cs="等线(中文正文)" w:eastAsia="等线(中文正文)"/>
          <w:b w:val="false"/>
          <w:i w:val="false"/>
          <w:sz w:val="20"/>
        </w:rPr>
        <w:t>对话讨论了第四季度的业务表现及未来年度的营收增长预期，预计资本业务增长显著，整体营收有望同比增长约20%，同时提及市场趋势良好，预期未来一年毛利率将进一步提升。</w:t>
      </w:r>
    </w:p>
    <w:p>
      <w:r>
        <w:rPr>
          <w:rFonts w:ascii="等线(中文正文)" w:hAnsi="等线(中文正文)" w:cs="等线(中文正文)" w:eastAsia="等线(中文正文)"/>
          <w:b w:val="false"/>
          <w:i w:val="false"/>
          <w:sz w:val="20"/>
        </w:rPr>
        <w:t/>
      </w:r>
    </w:p>
    <w:p>
      <w:pPr>
        <w:pStyle w:val="ab"/>
        <w:numPr>
          <w:numId w:val="8"/>
        </w:numPr>
      </w:pPr>
      <w:r>
        <w:t>30:11 教育集团扩展计划与监管环境讨论</w:t>
      </w:r>
    </w:p>
    <w:p>
      <w:r>
        <w:rPr>
          <w:rFonts w:ascii="等线(中文正文)" w:hAnsi="等线(中文正文)" w:cs="等线(中文正文)" w:eastAsia="等线(中文正文)"/>
          <w:b w:val="false"/>
          <w:i w:val="false"/>
          <w:sz w:val="20"/>
        </w:rPr>
        <w:t>对话围绕教育集团未来一年的扩展计划展开，计划在接下来的一年增加10%至15%的新容量，主要集中在表现优异的学习中心。管理层对线上业务发展持乐观态度，预计不会大量增设学习中心，而是通过提高平均转化率来促进增长。关于监管环境，管理层表示过去五年已顺利通过政府审查，对未来监管环境持中性至积极态度。</w:t>
      </w:r>
    </w:p>
    <w:p>
      <w:r>
        <w:rPr>
          <w:rFonts w:ascii="等线(中文正文)" w:hAnsi="等线(中文正文)" w:cs="等线(中文正文)" w:eastAsia="等线(中文正文)"/>
          <w:b w:val="false"/>
          <w:i w:val="false"/>
          <w:sz w:val="20"/>
        </w:rPr>
        <w:t/>
      </w:r>
    </w:p>
    <w:p>
      <w:pPr>
        <w:pStyle w:val="ab"/>
        <w:numPr>
          <w:numId w:val="9"/>
        </w:numPr>
      </w:pPr>
      <w:r>
        <w:t>33:25 海外测试咨询业务增长与成本控制</w:t>
      </w:r>
    </w:p>
    <w:p>
      <w:r>
        <w:rPr>
          <w:rFonts w:ascii="等线(中文正文)" w:hAnsi="等线(中文正文)" w:cs="等线(中文正文)" w:eastAsia="等线(中文正文)"/>
          <w:b w:val="false"/>
          <w:i w:val="false"/>
          <w:sz w:val="20"/>
        </w:rPr>
        <w:t>讨论了全球经济环境和国际形势对海外业务增长带来的挑战，尽管面临压力，但公司展现出韧性并预计市场份额将增加。去年合并了海外测试与咨询业务，旨在提供一站式服务，增强成本控制，减少开支。预计未来一年海外业务增长将保持稳定或低个位数，同时通过结构重组和成本控制，提升业务的利润率。</w:t>
      </w:r>
    </w:p>
    <w:p>
      <w:r>
        <w:rPr>
          <w:rFonts w:ascii="等线(中文正文)" w:hAnsi="等线(中文正文)" w:cs="等线(中文正文)" w:eastAsia="等线(中文正文)"/>
          <w:b w:val="false"/>
          <w:i w:val="false"/>
          <w:sz w:val="20"/>
        </w:rPr>
        <w:t/>
      </w:r>
    </w:p>
    <w:p>
      <w:pPr>
        <w:pStyle w:val="ab"/>
        <w:numPr>
          <w:numId w:val="10"/>
        </w:numPr>
      </w:pPr>
      <w:r>
        <w:t>36:41 营销与分销成本上升及未来展望</w:t>
      </w:r>
    </w:p>
    <w:p>
      <w:r>
        <w:rPr>
          <w:rFonts w:ascii="等线(中文正文)" w:hAnsi="等线(中文正文)" w:cs="等线(中文正文)" w:eastAsia="等线(中文正文)"/>
          <w:b w:val="false"/>
          <w:i w:val="false"/>
          <w:sz w:val="20"/>
        </w:rPr>
        <w:t>讨论了上一季度营销和分销费用的增加，特别是东方家园项目的影响。分析了第四季度东边地区营销支出的显著增长及其对整体利润率的贡献。在不考虑东边地区贡献的情况下，教育业务的利润率大致保持平稳。预计未来一年营销费用将继续增长，但随着产品推广和收入提升，整体利润率有望改善。</w:t>
      </w:r>
    </w:p>
    <w:p>
      <w:r>
        <w:rPr>
          <w:rFonts w:ascii="等线(中文正文)" w:hAnsi="等线(中文正文)" w:cs="等线(中文正文)" w:eastAsia="等线(中文正文)"/>
          <w:b w:val="false"/>
          <w:i w:val="false"/>
          <w:sz w:val="20"/>
        </w:rPr>
        <w:t/>
      </w:r>
    </w:p>
    <w:p>
      <w:pPr>
        <w:pStyle w:val="ab"/>
        <w:numPr>
          <w:numId w:val="11"/>
        </w:numPr>
      </w:pPr>
      <w:r>
        <w:t>38:48 成本控制与资本支出规划讨论</w:t>
      </w:r>
    </w:p>
    <w:p>
      <w:r>
        <w:rPr>
          <w:rFonts w:ascii="等线(中文正文)" w:hAnsi="等线(中文正文)" w:cs="等线(中文正文)" w:eastAsia="等线(中文正文)"/>
          <w:b w:val="false"/>
          <w:i w:val="false"/>
          <w:sz w:val="20"/>
        </w:rPr>
        <w:t>对话围绕成本控制措施及其预期节省效果展开，提及去年节省约1亿美元，并计划今年通过团队重组和AI应用进一步降低成本。同时，讨论了资本支出，去年支出2.5亿美元，预计今年将维持在2.5亿至3亿美元之间，主要用于IT升级和线下门店扩展。</w:t>
      </w:r>
    </w:p>
    <w:p>
      <w:r>
        <w:rPr>
          <w:rFonts w:ascii="等线(中文正文)" w:hAnsi="等线(中文正文)" w:cs="等线(中文正文)" w:eastAsia="等线(中文正文)"/>
          <w:b w:val="false"/>
          <w:i w:val="false"/>
          <w:sz w:val="20"/>
        </w:rPr>
        <w:t/>
      </w:r>
    </w:p>
    <w:p>
      <w:pPr>
        <w:pStyle w:val="ab"/>
        <w:numPr>
          <w:numId w:val="12"/>
        </w:numPr>
      </w:pPr>
      <w:r>
        <w:t>43:21 夏季市场竞争分析与未来三年K2业务展望</w:t>
      </w:r>
    </w:p>
    <w:p>
      <w:r>
        <w:rPr>
          <w:rFonts w:ascii="等线(中文正文)" w:hAnsi="等线(中文正文)" w:cs="等线(中文正文)" w:eastAsia="等线(中文正文)"/>
          <w:b w:val="false"/>
          <w:i w:val="false"/>
          <w:sz w:val="20"/>
        </w:rPr>
        <w:t>对话讨论了今年夏季市场竞争情况相较于去年有所缓解，预示着营收加速增长。提及人口减少影响，但强调家长对优质教育的追求将促使大型教育企业获得更多市场份额，展望未来五年市场趋势，预计大企业将进一步巩固地位。</w:t>
      </w:r>
    </w:p>
    <w:p>
      <w:r>
        <w:rPr>
          <w:rFonts w:ascii="等线(中文正文)" w:hAnsi="等线(中文正文)" w:cs="等线(中文正文)" w:eastAsia="等线(中文正文)"/>
          <w:b w:val="false"/>
          <w:i w:val="false"/>
          <w:sz w:val="20"/>
        </w:rPr>
        <w:t/>
      </w:r>
    </w:p>
    <w:p>
      <w:pPr>
        <w:pStyle w:val="ab"/>
        <w:numPr>
          <w:numId w:val="13"/>
        </w:numPr>
      </w:pPr>
      <w:r>
        <w:t>45:51 AI技术在教育领域的应用与展望</w:t>
      </w:r>
    </w:p>
    <w:p>
      <w:r>
        <w:rPr>
          <w:rFonts w:ascii="等线(中文正文)" w:hAnsi="等线(中文正文)" w:cs="等线(中文正文)" w:eastAsia="等线(中文正文)"/>
          <w:b w:val="false"/>
          <w:i w:val="false"/>
          <w:sz w:val="20"/>
        </w:rPr>
        <w:t>管理团队详细介绍了公司如何将AI技术融入教育产品，提升教学质量和学习体验，开发新平台和产品，以及通过AI提高工作效率和节省人力成本，展现出公司在教育AI应用上的差异化优势和未来潜力。</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主持了新东方SY2026年第四季度财务业绩的电话会议，首先讨论了公司未来一年的学习中心扩张计划，包括2027年的策略及当前利用率情况，并表达了对监管环境的中立至积极态度。他强调了在线业务（OMO）的潜力，以及AI在提高教学效率和降低成本方面的作用，展现了公司对未来的积极态度和准备。此外，他谈及了成本控制和资本支出，以及通过AI技术与市场策略实现业务增长和成本节约的预期。他感谢与会者并提醒会议的录音状态与网络广播。随后，财务结果由Stephen Young详细分享，赞扬了本季度的出色表现，包括收入和利润增长，以及公司在应对挑战方面的强大财务能力，同时预测了未来一年的财务增长指引。会议最后，他邀请并回答了与会者的提问。</w:t>
      </w:r>
    </w:p>
    <w:p>
      <w:r>
        <w:rPr>
          <w:rFonts w:ascii="等线(中文正文)" w:hAnsi="等线(中文正文)" w:cs="等线(中文正文)" w:eastAsia="等线(中文正文)"/>
          <w:b w:val="false"/>
          <w:i w:val="false"/>
          <w:sz w:val="20"/>
        </w:rPr>
        <w:t/>
      </w:r>
    </w:p>
    <w:p>
      <w:pPr>
        <w:pStyle w:val="a7"/>
      </w:pPr>
      <w:r>
        <w:t>要点回顾</w:t>
      </w:r>
    </w:p>
    <w:p>
      <w:pPr>
        <w:pStyle w:val="ab"/>
      </w:pPr>
      <w:r>
        <w:t>What are the financial results for the new oriental SY 2026 fourth quarter?</w:t>
      </w:r>
    </w:p>
    <w:p>
      <w:r>
        <w:rPr>
          <w:rFonts w:ascii="等线(中文正文)" w:hAnsi="等线(中文正文)" w:cs="等线(中文正文)" w:eastAsia="等线(中文正文)"/>
          <w:b w:val="false"/>
          <w:i w:val="false"/>
          <w:sz w:val="20"/>
        </w:rPr>
        <w:t>发言人1：The financial results for the new oriental SY 2026 fourth quarter were released early and are available on the company's website and new news services.</w:t>
      </w:r>
    </w:p>
    <w:p>
      <w:r>
        <w:rPr>
          <w:rFonts w:ascii="等线(中文正文)" w:hAnsi="等线(中文正文)" w:cs="等线(中文正文)" w:eastAsia="等线(中文正文)"/>
          <w:b w:val="false"/>
          <w:i w:val="false"/>
          <w:sz w:val="20"/>
        </w:rPr>
        <w:t/>
      </w:r>
    </w:p>
    <w:p>
      <w:pPr>
        <w:pStyle w:val="ab"/>
      </w:pPr>
      <w:r>
        <w:t>Who will be presenting the detailed results and business updates?</w:t>
      </w:r>
    </w:p>
    <w:p>
      <w:r>
        <w:rPr>
          <w:rFonts w:ascii="等线(中文正文)" w:hAnsi="等线(中文正文)" w:cs="等线(中文正文)" w:eastAsia="等线(中文正文)"/>
          <w:b w:val="false"/>
          <w:i w:val="false"/>
          <w:sz w:val="20"/>
        </w:rPr>
        <w:t>发言人1：Stephen Young, the executive president and CFO, and the speaker himself (the host) will be sharing the detailed results and business updates.</w:t>
      </w:r>
    </w:p>
    <w:p>
      <w:r>
        <w:rPr>
          <w:rFonts w:ascii="等线(中文正文)" w:hAnsi="等线(中文正文)" w:cs="等线(中文正文)" w:eastAsia="等线(中文正文)"/>
          <w:b w:val="false"/>
          <w:i w:val="false"/>
          <w:sz w:val="20"/>
        </w:rPr>
        <w:t/>
      </w:r>
    </w:p>
    <w:p>
      <w:pPr>
        <w:pStyle w:val="ab"/>
      </w:pPr>
      <w:r>
        <w:t>What are the potential risks and uncertainties mentioned in the conference call?</w:t>
      </w:r>
    </w:p>
    <w:p>
      <w:r>
        <w:rPr>
          <w:rFonts w:ascii="等线(中文正文)" w:hAnsi="等线(中文正文)" w:cs="等线(中文正文)" w:eastAsia="等线(中文正文)"/>
          <w:b w:val="false"/>
          <w:i w:val="false"/>
          <w:sz w:val="20"/>
        </w:rPr>
        <w:t>发言人1：The potential risks and uncertainties mentioned in the conference call involve forward-looking statements made under the safe harbor provisions of the U.S. Private Securities Litigation Reform Act. New东方 notes that the results may be materially different from the forward-looking statements.</w:t>
      </w:r>
    </w:p>
    <w:p>
      <w:r>
        <w:rPr>
          <w:rFonts w:ascii="等线(中文正文)" w:hAnsi="等线(中文正文)" w:cs="等线(中文正文)" w:eastAsia="等线(中文正文)"/>
          <w:b w:val="false"/>
          <w:i w:val="false"/>
          <w:sz w:val="20"/>
        </w:rPr>
        <w:t/>
      </w:r>
    </w:p>
    <w:p>
      <w:pPr>
        <w:pStyle w:val="ab"/>
      </w:pPr>
      <w:r>
        <w:t>Where can the webcast of the conference call be accessed?</w:t>
      </w:r>
    </w:p>
    <w:p>
      <w:r>
        <w:rPr>
          <w:rFonts w:ascii="等线(中文正文)" w:hAnsi="等线(中文正文)" w:cs="等线(中文正文)" w:eastAsia="等线(中文正文)"/>
          <w:b w:val="false"/>
          <w:i w:val="false"/>
          <w:sz w:val="20"/>
        </w:rPr>
        <w:t>发言人1：The webcast of the conference call will be available on New Oriental's investor relations website at investor.renminu.edu.cn.</w:t>
      </w:r>
    </w:p>
    <w:p>
      <w:r>
        <w:rPr>
          <w:rFonts w:ascii="等线(中文正文)" w:hAnsi="等线(中文正文)" w:cs="等线(中文正文)" w:eastAsia="等线(中文正文)"/>
          <w:b w:val="false"/>
          <w:i w:val="false"/>
          <w:sz w:val="20"/>
        </w:rPr>
        <w:t/>
      </w:r>
    </w:p>
    <w:p>
      <w:pPr>
        <w:pStyle w:val="ab"/>
      </w:pPr>
      <w:r>
        <w:t>How much was the revenue growth for the current quarter, and what were the operating income and margins?</w:t>
      </w:r>
    </w:p>
    <w:p>
      <w:r>
        <w:rPr>
          <w:rFonts w:ascii="等线(中文正文)" w:hAnsi="等线(中文正文)" w:cs="等线(中文正文)" w:eastAsia="等线(中文正文)"/>
          <w:b w:val="false"/>
          <w:i w:val="false"/>
          <w:sz w:val="20"/>
        </w:rPr>
        <w:t>发言人1：The revenue growth for the current quarter was 23% year over year, reaching $1,529 million. Operating income rose 34% to $10 million, and the operating margins for both the quarter and the physical year to one year showed a healthy increment.</w:t>
      </w:r>
    </w:p>
    <w:p>
      <w:r>
        <w:rPr>
          <w:rFonts w:ascii="等线(中文正文)" w:hAnsi="等线(中文正文)" w:cs="等线(中文正文)" w:eastAsia="等线(中文正文)"/>
          <w:b w:val="false"/>
          <w:i w:val="false"/>
          <w:sz w:val="20"/>
        </w:rPr>
        <w:t/>
      </w:r>
    </w:p>
    <w:p>
      <w:pPr>
        <w:pStyle w:val="ab"/>
      </w:pPr>
      <w:r>
        <w:t>What was the revenue increase for the IT overseas division and the distance education business?</w:t>
      </w:r>
    </w:p>
    <w:p>
      <w:r>
        <w:rPr>
          <w:rFonts w:ascii="等线(中文正文)" w:hAnsi="等线(中文正文)" w:cs="等线(中文正文)" w:eastAsia="等线(中文正文)"/>
          <w:b w:val="false"/>
          <w:i w:val="false"/>
          <w:sz w:val="20"/>
        </w:rPr>
        <w:t>发言人1：The IT overseas division recorded a 6% revenue increase over a year for the post quarter of 2026, and the distance education business recorded a revenue increase of about 1% over year for this quarter.</w:t>
      </w:r>
    </w:p>
    <w:p>
      <w:r>
        <w:rPr>
          <w:rFonts w:ascii="等线(中文正文)" w:hAnsi="等线(中文正文)" w:cs="等线(中文正文)" w:eastAsia="等线(中文正文)"/>
          <w:b w:val="false"/>
          <w:i w:val="false"/>
          <w:sz w:val="20"/>
        </w:rPr>
        <w:t/>
      </w:r>
    </w:p>
    <w:p>
      <w:pPr>
        <w:pStyle w:val="ab"/>
      </w:pPr>
      <w:r>
        <w:t>What is the market penetration rate for the etane children business?</w:t>
      </w:r>
    </w:p>
    <w:p>
      <w:r>
        <w:rPr>
          <w:rFonts w:ascii="等线(中文正文)" w:hAnsi="等线(中文正文)" w:cs="等线(中文正文)" w:eastAsia="等线(中文正文)"/>
          <w:b w:val="false"/>
          <w:i w:val="false"/>
          <w:sz w:val="20"/>
        </w:rPr>
        <w:t>发言人1：The market penetration for the etane children business has shown steady growth, particularly across high-tier cities, with the top ten cities contributing around 60% of the distance.</w:t>
      </w:r>
    </w:p>
    <w:p>
      <w:r>
        <w:rPr>
          <w:rFonts w:ascii="等线(中文正文)" w:hAnsi="等线(中文正文)" w:cs="等线(中文正文)" w:eastAsia="等线(中文正文)"/>
          <w:b w:val="false"/>
          <w:i w:val="false"/>
          <w:sz w:val="20"/>
        </w:rPr>
        <w:t/>
      </w:r>
    </w:p>
    <w:p>
      <w:pPr>
        <w:pStyle w:val="ab"/>
      </w:pPr>
      <w:r>
        <w:t>What is the revenue contribution of the flower integrates tourism related business?</w:t>
      </w:r>
    </w:p>
    <w:p>
      <w:r>
        <w:rPr>
          <w:rFonts w:ascii="等线(中文正文)" w:hAnsi="等线(中文正文)" w:cs="等线(中文正文)" w:eastAsia="等线(中文正文)"/>
          <w:b w:val="false"/>
          <w:i w:val="false"/>
          <w:sz w:val="20"/>
        </w:rPr>
        <w:t>发言人1：The flower integrates tourism related business, which includes study tours and research camps for kids and university students, as well as cultural tours for middle-aged and senior tourists, has delivered meaningful value to customers for knowledge-rich and personal growth and cultural exchanges.</w:t>
      </w:r>
    </w:p>
    <w:p>
      <w:r>
        <w:rPr>
          <w:rFonts w:ascii="等线(中文正文)" w:hAnsi="等线(中文正文)" w:cs="等线(中文正文)" w:eastAsia="等线(中文正文)"/>
          <w:b w:val="false"/>
          <w:i w:val="false"/>
          <w:sz w:val="20"/>
        </w:rPr>
        <w:t/>
      </w:r>
    </w:p>
    <w:p>
      <w:pPr>
        <w:pStyle w:val="ab"/>
      </w:pPr>
      <w:r>
        <w:t>How is New Oriental expanding its services into senior health and wellness tourism?</w:t>
      </w:r>
    </w:p>
    <w:p>
      <w:r>
        <w:rPr>
          <w:rFonts w:ascii="等线(中文正文)" w:hAnsi="等线(中文正文)" w:cs="等线(中文正文)" w:eastAsia="等线(中文正文)"/>
          <w:b w:val="false"/>
          <w:i w:val="false"/>
          <w:sz w:val="20"/>
        </w:rPr>
        <w:t>发言人1：New Oriental is expanding its services into senior health and wellness tourism with an asset-light model, fourteen partnerships with over forty-five wellness facilities, and cross-destination key locations including海南,云南, and广西.</w:t>
      </w:r>
    </w:p>
    <w:p>
      <w:r>
        <w:rPr>
          <w:rFonts w:ascii="等线(中文正文)" w:hAnsi="等线(中文正文)" w:cs="等线(中文正文)" w:eastAsia="等线(中文正文)"/>
          <w:b w:val="false"/>
          <w:i w:val="false"/>
          <w:sz w:val="20"/>
        </w:rPr>
        <w:t/>
      </w:r>
    </w:p>
    <w:p>
      <w:pPr>
        <w:pStyle w:val="ab"/>
      </w:pPr>
      <w:r>
        <w:t>What is the initial performance of the new AI powered personalized learning platform?</w:t>
      </w:r>
    </w:p>
    <w:p>
      <w:r>
        <w:rPr>
          <w:rFonts w:ascii="等线(中文正文)" w:hAnsi="等线(中文正文)" w:cs="等线(中文正文)" w:eastAsia="等线(中文正文)"/>
          <w:b w:val="false"/>
          <w:i w:val="false"/>
          <w:sz w:val="20"/>
        </w:rPr>
        <w:t>发言人1：The new AI-powered personalized learning platform has successfully completed its first face deployment, achieving minimal sales within just 25 days of operation, demonstrating an encouraging initial performance and market traction.</w:t>
      </w:r>
    </w:p>
    <w:p>
      <w:r>
        <w:rPr>
          <w:rFonts w:ascii="等线(中文正文)" w:hAnsi="等线(中文正文)" w:cs="等线(中文正文)" w:eastAsia="等线(中文正文)"/>
          <w:b w:val="false"/>
          <w:i w:val="false"/>
          <w:sz w:val="20"/>
        </w:rPr>
        <w:t/>
      </w:r>
    </w:p>
    <w:p>
      <w:pPr>
        <w:pStyle w:val="ab"/>
      </w:pPr>
      <w:r>
        <w:t>What are the company's commitments and strategies for the coming fiscal year?</w:t>
      </w:r>
    </w:p>
    <w:p>
      <w:r>
        <w:rPr>
          <w:rFonts w:ascii="等线(中文正文)" w:hAnsi="等线(中文正文)" w:cs="等线(中文正文)" w:eastAsia="等线(中文正文)"/>
          <w:b w:val="false"/>
          <w:i w:val="false"/>
          <w:sz w:val="20"/>
        </w:rPr>
        <w:t>发言人1：For the coming fiscal year, the company is firmly committed to the three high product standards, high sixty standards, high product quality, and high cost of performance, while delivering attentive customer service. Strategies include using the OMO teaching platform to continue embedding AI across the ecosystem, developing AI-driven products and solutions, and expanding offline experiences and private label product offerings.</w:t>
      </w:r>
    </w:p>
    <w:p>
      <w:r>
        <w:rPr>
          <w:rFonts w:ascii="等线(中文正文)" w:hAnsi="等线(中文正文)" w:cs="等线(中文正文)" w:eastAsia="等线(中文正文)"/>
          <w:b w:val="false"/>
          <w:i w:val="false"/>
          <w:sz w:val="20"/>
        </w:rPr>
        <w:t/>
      </w:r>
    </w:p>
    <w:p>
      <w:pPr>
        <w:pStyle w:val="ab"/>
      </w:pPr>
      <w:r>
        <w:t>What is the new strategic initiative, and what has been its impact on customer engagement and business performance?</w:t>
      </w:r>
    </w:p>
    <w:p>
      <w:r>
        <w:rPr>
          <w:rFonts w:ascii="等线(中文正文)" w:hAnsi="等线(中文正文)" w:cs="等线(中文正文)" w:eastAsia="等线(中文正文)"/>
          <w:b w:val="false"/>
          <w:i w:val="false"/>
          <w:sz w:val="20"/>
        </w:rPr>
        <w:t>发言人1：The new strategic initiative is a home platform designed to serve families with children to seniors through a full lifecycle, integrating education, easy offerings, and culture tourism into one unified ecosystem. This has led to strong early traction, an increase in student retention, and deeper household-level relationships, transforming customer engagement into actionable data and improving cross-selling and operational efficiency.</w:t>
      </w:r>
    </w:p>
    <w:p>
      <w:r>
        <w:rPr>
          <w:rFonts w:ascii="等线(中文正文)" w:hAnsi="等线(中文正文)" w:cs="等线(中文正文)" w:eastAsia="等线(中文正文)"/>
          <w:b w:val="false"/>
          <w:i w:val="false"/>
          <w:sz w:val="20"/>
        </w:rPr>
        <w:t/>
      </w:r>
    </w:p>
    <w:p>
      <w:pPr>
        <w:pStyle w:val="ab"/>
      </w:pPr>
      <w:r>
        <w:t>What are the platform's latest activation rates and what does this indicate?</w:t>
      </w:r>
    </w:p>
    <w:p>
      <w:r>
        <w:rPr>
          <w:rFonts w:ascii="等线(中文正文)" w:hAnsi="等线(中文正文)" w:cs="等线(中文正文)" w:eastAsia="等线(中文正文)"/>
          <w:b w:val="false"/>
          <w:i w:val="false"/>
          <w:sz w:val="20"/>
        </w:rPr>
        <w:t>发言人1：The platform has achieved a cumulative activity participation rate of around seventy percent and the latest campaign activation rates is twenty three percent. This indicates the high reach and a position advantage of the education-focused private and cost domain.</w:t>
      </w:r>
    </w:p>
    <w:p>
      <w:r>
        <w:rPr>
          <w:rFonts w:ascii="等线(中文正文)" w:hAnsi="等线(中文正文)" w:cs="等线(中文正文)" w:eastAsia="等线(中文正文)"/>
          <w:b w:val="false"/>
          <w:i w:val="false"/>
          <w:sz w:val="20"/>
        </w:rPr>
        <w:t/>
      </w:r>
    </w:p>
    <w:p>
      <w:pPr>
        <w:pStyle w:val="ab"/>
      </w:pPr>
      <w:r>
        <w:t>What are the key financial highlights for the quarter mentioned in the speech?</w:t>
      </w:r>
    </w:p>
    <w:p>
      <w:r>
        <w:rPr>
          <w:rFonts w:ascii="等线(中文正文)" w:hAnsi="等线(中文正文)" w:cs="等线(中文正文)" w:eastAsia="等线(中文正文)"/>
          <w:b w:val="false"/>
          <w:i w:val="false"/>
          <w:sz w:val="20"/>
        </w:rPr>
        <w:t>发言人1：The key financial highlights for the quarter include operating costs and expenses at $1,443.17 million, a 45.3% increase year over year. Cost of revenues increased by 25.9% year over year to $778.3 million, marketing expenses increased by 23.9% year over year to $262.5 million, and TNA expenses increased by 13.2% year over year to $463.9 million. Impairment of goodwill was $60.3 million compared to $0 in the prior fiscal year. Total share-based compensation expenses decreased by 27% to $22.7 million.</w:t>
      </w:r>
    </w:p>
    <w:p>
      <w:r>
        <w:rPr>
          <w:rFonts w:ascii="等线(中文正文)" w:hAnsi="等线(中文正文)" w:cs="等线(中文正文)" w:eastAsia="等线(中文正文)"/>
          <w:b w:val="false"/>
          <w:i w:val="false"/>
          <w:sz w:val="20"/>
        </w:rPr>
        <w:t/>
      </w:r>
    </w:p>
    <w:p>
      <w:pPr>
        <w:pStyle w:val="ab"/>
      </w:pPr>
      <w:r>
        <w:t>How did the company's operating income compare to the prior year?</w:t>
      </w:r>
    </w:p>
    <w:p>
      <w:r>
        <w:rPr>
          <w:rFonts w:ascii="等线(中文正文)" w:hAnsi="等线(中文正文)" w:cs="等线(中文正文)" w:eastAsia="等线(中文正文)"/>
          <w:b w:val="false"/>
          <w:i w:val="false"/>
          <w:sz w:val="20"/>
        </w:rPr>
        <w:t>发言人1：The company's operating income for the quarter was $85.8 million, compared to an operating loss of $8.7 million in the prior year period, representing a significant improvement.</w:t>
      </w:r>
    </w:p>
    <w:p>
      <w:r>
        <w:rPr>
          <w:rFonts w:ascii="等线(中文正文)" w:hAnsi="等线(中文正文)" w:cs="等线(中文正文)" w:eastAsia="等线(中文正文)"/>
          <w:b w:val="false"/>
          <w:i w:val="false"/>
          <w:sz w:val="20"/>
        </w:rPr>
        <w:t/>
      </w:r>
    </w:p>
    <w:p>
      <w:pPr>
        <w:pStyle w:val="ab"/>
      </w:pPr>
      <w:r>
        <w:t>What was the net cash inflow from operations for the fourth quarter of 2026, and what were the total capital expenditures?</w:t>
      </w:r>
    </w:p>
    <w:p>
      <w:r>
        <w:rPr>
          <w:rFonts w:ascii="等线(中文正文)" w:hAnsi="等线(中文正文)" w:cs="等线(中文正文)" w:eastAsia="等线(中文正文)"/>
          <w:b w:val="false"/>
          <w:i w:val="false"/>
          <w:sz w:val="20"/>
        </w:rPr>
        <w:t>发言人1：The net cash inflow from operations for the fourth quarter of 2026 was approximately $518.27 million, and total capital expenditures for the quarter were $99 million.</w:t>
      </w:r>
    </w:p>
    <w:p>
      <w:r>
        <w:rPr>
          <w:rFonts w:ascii="等线(中文正文)" w:hAnsi="等线(中文正文)" w:cs="等线(中文正文)" w:eastAsia="等线(中文正文)"/>
          <w:b w:val="false"/>
          <w:i w:val="false"/>
          <w:sz w:val="20"/>
        </w:rPr>
        <w:t/>
      </w:r>
    </w:p>
    <w:p>
      <w:pPr>
        <w:pStyle w:val="ab"/>
      </w:pPr>
      <w:r>
        <w:t>How much revenue is expected to be recognized in the next quarter and what is the increase compared to the previous year?</w:t>
      </w:r>
    </w:p>
    <w:p>
      <w:r>
        <w:rPr>
          <w:rFonts w:ascii="等线(中文正文)" w:hAnsi="等线(中文正文)" w:cs="等线(中文正文)" w:eastAsia="等线(中文正文)"/>
          <w:b w:val="false"/>
          <w:i w:val="false"/>
          <w:sz w:val="20"/>
        </w:rPr>
        <w:t>发言人1：The company expects revenue from the next quarter to be recognized as cash collected from customers, which was $2,242.9 million at the end of the fourth quarter of 2026, an increase of 14.8% compared to the previous year.</w:t>
      </w:r>
    </w:p>
    <w:p>
      <w:r>
        <w:rPr>
          <w:rFonts w:ascii="等线(中文正文)" w:hAnsi="等线(中文正文)" w:cs="等线(中文正文)" w:eastAsia="等线(中文正文)"/>
          <w:b w:val="false"/>
          <w:i w:val="false"/>
          <w:sz w:val="20"/>
        </w:rPr>
        <w:t/>
      </w:r>
    </w:p>
    <w:p>
      <w:pPr>
        <w:pStyle w:val="ab"/>
      </w:pPr>
      <w:r>
        <w:t>What is the company's outlook for the upcoming fiscal year and the reasons for confidence?</w:t>
      </w:r>
    </w:p>
    <w:p>
      <w:r>
        <w:rPr>
          <w:rFonts w:ascii="等线(中文正文)" w:hAnsi="等线(中文正文)" w:cs="等线(中文正文)" w:eastAsia="等线(中文正文)"/>
          <w:b w:val="false"/>
          <w:i w:val="false"/>
          <w:sz w:val="20"/>
        </w:rPr>
        <w:t>发言人1：The company's outlook for the upcoming fiscal year is positive, driven by resilient performance and growth trends. Confidence in the momentum for the coming first quarter is due to the acceleration of revenue growth and an improvement in overall operational efficiency.</w:t>
      </w:r>
    </w:p>
    <w:p>
      <w:r>
        <w:rPr>
          <w:rFonts w:ascii="等线(中文正文)" w:hAnsi="等线(中文正文)" w:cs="等线(中文正文)" w:eastAsia="等线(中文正文)"/>
          <w:b w:val="false"/>
          <w:i w:val="false"/>
          <w:sz w:val="20"/>
        </w:rPr>
        <w:t/>
      </w:r>
    </w:p>
    <w:p>
      <w:pPr>
        <w:pStyle w:val="ab"/>
      </w:pPr>
      <w:r>
        <w:t>What are the strategic plans for expanding the company's presence and what is the focus of the business?</w:t>
      </w:r>
    </w:p>
    <w:p>
      <w:r>
        <w:rPr>
          <w:rFonts w:ascii="等线(中文正文)" w:hAnsi="等线(中文正文)" w:cs="等线(中文正文)" w:eastAsia="等线(中文正文)"/>
          <w:b w:val="false"/>
          <w:i w:val="false"/>
          <w:sz w:val="20"/>
        </w:rPr>
        <w:t>发言人1：The company plans to strategically expand its catala and talent, and enhance its presence in markets with proven top and bottom-line performance, maintaining regulars with source allocation. The focus remains on long-term value creation, ensuring investors have a clear view of the company's statistical trajectory and durable growth.</w:t>
      </w:r>
    </w:p>
    <w:p>
      <w:r>
        <w:rPr>
          <w:rFonts w:ascii="等线(中文正文)" w:hAnsi="等线(中文正文)" w:cs="等线(中文正文)" w:eastAsia="等线(中文正文)"/>
          <w:b w:val="false"/>
          <w:i w:val="false"/>
          <w:sz w:val="20"/>
        </w:rPr>
        <w:t/>
      </w:r>
    </w:p>
    <w:p>
      <w:pPr>
        <w:pStyle w:val="ab"/>
      </w:pPr>
      <w:r>
        <w:t>What are the company's expectations for total net revenue in fiscal year 2027?</w:t>
      </w:r>
    </w:p>
    <w:p>
      <w:r>
        <w:rPr>
          <w:rFonts w:ascii="等线(中文正文)" w:hAnsi="等线(中文正文)" w:cs="等线(中文正文)" w:eastAsia="等线(中文正文)"/>
          <w:b w:val="false"/>
          <w:i w:val="false"/>
          <w:sz w:val="20"/>
        </w:rPr>
        <w:t>发言人1：The company expects total net revenue for the group in fiscal year 2027 to be in the range of $6,463.9 million to $6,682.3 million, representing a year-over-year increase of 10% to 18%.</w:t>
      </w:r>
    </w:p>
    <w:p>
      <w:r>
        <w:rPr>
          <w:rFonts w:ascii="等线(中文正文)" w:hAnsi="等线(中文正文)" w:cs="等线(中文正文)" w:eastAsia="等线(中文正文)"/>
          <w:b w:val="false"/>
          <w:i w:val="false"/>
          <w:sz w:val="20"/>
        </w:rPr>
        <w:t/>
      </w:r>
    </w:p>
    <w:p>
      <w:pPr>
        <w:pStyle w:val="ab"/>
      </w:pPr>
      <w:r>
        <w:t>What share repurchase program has been announced, and what is the total amount expected to be returned to shareholders in the fiscal year 2027?</w:t>
      </w:r>
    </w:p>
    <w:p>
      <w:r>
        <w:rPr>
          <w:rFonts w:ascii="等线(中文正文)" w:hAnsi="等线(中文正文)" w:cs="等线(中文正文)" w:eastAsia="等线(中文正文)"/>
          <w:b w:val="false"/>
          <w:i w:val="false"/>
          <w:sz w:val="20"/>
        </w:rPr>
        <w:t>发言人1：A share repurchase program has been announced, under which the company may purchase up to $20 million of its ADS representing common shares over the subsequent 12 months. The total amount of capital return for fiscal year 2027 is expected to approach $500 million, including $274 million for share repurchases and $226 million for cash dividends.</w:t>
      </w:r>
    </w:p>
    <w:p>
      <w:r>
        <w:rPr>
          <w:rFonts w:ascii="等线(中文正文)" w:hAnsi="等线(中文正文)" w:cs="等线(中文正文)" w:eastAsia="等线(中文正文)"/>
          <w:b w:val="false"/>
          <w:i w:val="false"/>
          <w:sz w:val="20"/>
        </w:rPr>
        <w:t/>
      </w:r>
    </w:p>
    <w:p>
      <w:pPr>
        <w:pStyle w:val="ab"/>
      </w:pPr>
      <w:r>
        <w:t>What are the details regarding the cash dividend program and share repurchase program?</w:t>
      </w:r>
    </w:p>
    <w:p>
      <w:r>
        <w:rPr>
          <w:rFonts w:ascii="等线(中文正文)" w:hAnsi="等线(中文正文)" w:cs="等线(中文正文)" w:eastAsia="等线(中文正文)"/>
          <w:b w:val="false"/>
          <w:i w:val="false"/>
          <w:sz w:val="20"/>
        </w:rPr>
        <w:t>发言人1：The aggregate amount of cash dividends for fiscal year 2027 is expected to approach $300 million, to be paid in two installments in December 2026 and June 2027. For the share repurchase program, the company may purchase up to $20 million of its ADS representing common shares over the subsequent 12 months. The company may make these purchases in the open market, in private negotiated transactions, or through other legally permissible means, depending on market conditions.</w:t>
      </w:r>
    </w:p>
    <w:p>
      <w:r>
        <w:rPr>
          <w:rFonts w:ascii="等线(中文正文)" w:hAnsi="等线(中文正文)" w:cs="等线(中文正文)" w:eastAsia="等线(中文正文)"/>
          <w:b w:val="false"/>
          <w:i w:val="false"/>
          <w:sz w:val="20"/>
        </w:rPr>
        <w:t/>
      </w:r>
    </w:p>
    <w:p>
      <w:pPr>
        <w:pStyle w:val="ab"/>
      </w:pPr>
      <w:r>
        <w:t>Can you break down the financial year 2027 guidance into quarterly projections, especially focusing on the trends expected in the third quarter regarding revenue and margin?</w:t>
      </w:r>
    </w:p>
    <w:p>
      <w:r>
        <w:rPr>
          <w:rFonts w:ascii="等线(中文正文)" w:hAnsi="等线(中文正文)" w:cs="等线(中文正文)" w:eastAsia="等线(中文正文)"/>
          <w:b w:val="false"/>
          <w:i w:val="false"/>
          <w:sz w:val="20"/>
        </w:rPr>
        <w:t>发言人1：The speaker mentioned that the strategy for fiscal year 2026 was to enhance product and service quality, which has shown positive results. However, specific quarterly guidance for financial year 2027 was not detailed in the transcript, only the annual guidance of 15% to 18% was provided. The speaker encouraged investors to evaluate the company's performance over the long term rather than quarter to quarter.</w:t>
      </w:r>
    </w:p>
    <w:p>
      <w:r>
        <w:rPr>
          <w:rFonts w:ascii="等线(中文正文)" w:hAnsi="等线(中文正文)" w:cs="等线(中文正文)" w:eastAsia="等线(中文正文)"/>
          <w:b w:val="false"/>
          <w:i w:val="false"/>
          <w:sz w:val="20"/>
        </w:rPr>
        <w:t/>
      </w:r>
    </w:p>
    <w:p>
      <w:pPr>
        <w:pStyle w:val="ab"/>
      </w:pPr>
      <w:r>
        <w:t>What is the expected revenue growth and margin performance for the first quarter of financial year 2027?</w:t>
      </w:r>
    </w:p>
    <w:p>
      <w:r>
        <w:rPr>
          <w:rFonts w:ascii="等线(中文正文)" w:hAnsi="等线(中文正文)" w:cs="等线(中文正文)" w:eastAsia="等线(中文正文)"/>
          <w:b w:val="false"/>
          <w:i w:val="false"/>
          <w:sz w:val="20"/>
        </w:rPr>
        <w:t>发言人1：The speaker expressed confidence in sustaining the momentum for the first quarter of financial year 2027, anticipating revenue growth and an improving student retention rate that will drive accelerated revenue growth of the education business. The margin is expected to extend with a 60 basis point increase from the previous quarter, and the company is confident about the margin extension in the coming new year, especially for the first quarter.</w:t>
      </w:r>
    </w:p>
    <w:p>
      <w:r>
        <w:rPr>
          <w:rFonts w:ascii="等线(中文正文)" w:hAnsi="等线(中文正文)" w:cs="等线(中文正文)" w:eastAsia="等线(中文正文)"/>
          <w:b w:val="false"/>
          <w:i w:val="false"/>
          <w:sz w:val="20"/>
        </w:rPr>
        <w:t/>
      </w:r>
    </w:p>
    <w:p>
      <w:pPr>
        <w:pStyle w:val="ab"/>
      </w:pPr>
      <w:r>
        <w:t>What are the revenue growth expectations for the fiscal year 2027?</w:t>
      </w:r>
    </w:p>
    <w:p>
      <w:r>
        <w:rPr>
          <w:rFonts w:ascii="等线(中文正文)" w:hAnsi="等线(中文正文)" w:cs="等线(中文正文)" w:eastAsia="等线(中文正文)"/>
          <w:b w:val="false"/>
          <w:i w:val="false"/>
          <w:sz w:val="20"/>
        </w:rPr>
        <w:t>发言人1：The speaker mentioned a strong year of capital business growth in fiscal year 2026 and provided guidance for the coming new year, expecting a total revenue growth of case and high school business to increase roughly by 20% year over year.</w:t>
      </w:r>
    </w:p>
    <w:p>
      <w:r>
        <w:rPr>
          <w:rFonts w:ascii="等线(中文正文)" w:hAnsi="等线(中文正文)" w:cs="等线(中文正文)" w:eastAsia="等线(中文正文)"/>
          <w:b w:val="false"/>
          <w:i w:val="false"/>
          <w:sz w:val="20"/>
        </w:rPr>
        <w:t/>
      </w:r>
    </w:p>
    <w:p>
      <w:pPr>
        <w:pStyle w:val="ab"/>
      </w:pPr>
      <w:r>
        <w:t>What is the plan for capacity extension in fiscal year 2027 and what is the current utilization rate?</w:t>
      </w:r>
    </w:p>
    <w:p>
      <w:r>
        <w:rPr>
          <w:rFonts w:ascii="等线(中文正文)" w:hAnsi="等线(中文正文)" w:cs="等线(中文正文)" w:eastAsia="等线(中文正文)"/>
          <w:b w:val="false"/>
          <w:i w:val="false"/>
          <w:sz w:val="20"/>
        </w:rPr>
        <w:t>发言人1：In fiscal year 2026, the company added 13% new capacity in total. For the new fiscal year, the plan is to open 10% to 15% new capacity, with most of the new openings expected to be in areas that showed top performance for the last year. The focus is on improving student retention rates, which will drive up the inhibition rate in executive learning centers. There is also optimism about OMO (online to offline) business development, which means the company may not need to open many new learning centers in the new fiscal year.</w:t>
      </w:r>
    </w:p>
    <w:p>
      <w:r>
        <w:rPr>
          <w:rFonts w:ascii="等线(中文正文)" w:hAnsi="等线(中文正文)" w:cs="等线(中文正文)" w:eastAsia="等线(中文正文)"/>
          <w:b w:val="false"/>
          <w:i w:val="false"/>
          <w:sz w:val="20"/>
        </w:rPr>
        <w:t/>
      </w:r>
    </w:p>
    <w:p>
      <w:pPr>
        <w:pStyle w:val="ab"/>
      </w:pPr>
      <w:r>
        <w:t>What is the projected trend in the student retention rate and how will it affect the inhibition rate in the executive learning centers?</w:t>
      </w:r>
    </w:p>
    <w:p>
      <w:r>
        <w:rPr>
          <w:rFonts w:ascii="等线(中文正文)" w:hAnsi="等线(中文正文)" w:cs="等线(中文正文)" w:eastAsia="等线(中文正文)"/>
          <w:b w:val="false"/>
          <w:i w:val="false"/>
          <w:sz w:val="20"/>
        </w:rPr>
        <w:t>发言人1：The projected trend is an improvement in the student retention rate, which will drive the inhibition rate up in the executive learning centers. The company is very optimistic about OMO (online to offline) business development, which suggests that there will be a positive impact on the average relegation rate, indicating a higher top and revenue growth in the coming new fiscal year compared to the learning center extensions.</w:t>
      </w:r>
    </w:p>
    <w:p>
      <w:r>
        <w:rPr>
          <w:rFonts w:ascii="等线(中文正文)" w:hAnsi="等线(中文正文)" w:cs="等线(中文正文)" w:eastAsia="等线(中文正文)"/>
          <w:b w:val="false"/>
          <w:i w:val="false"/>
          <w:sz w:val="20"/>
        </w:rPr>
        <w:t/>
      </w:r>
    </w:p>
    <w:p>
      <w:pPr>
        <w:pStyle w:val="ab"/>
      </w:pPr>
      <w:r>
        <w:t>What is the speaker's view on the regulatory environment?</w:t>
      </w:r>
    </w:p>
    <w:p>
      <w:r>
        <w:rPr>
          <w:rFonts w:ascii="等线(中文正文)" w:hAnsi="等线(中文正文)" w:cs="等线(中文正文)" w:eastAsia="等线(中文正文)"/>
          <w:b w:val="false"/>
          <w:i w:val="false"/>
          <w:sz w:val="20"/>
        </w:rPr>
        <w:t>发言人1：The speaker views the regulatory environment as neutral to positive.</w:t>
      </w:r>
    </w:p>
    <w:p>
      <w:r>
        <w:rPr>
          <w:rFonts w:ascii="等线(中文正文)" w:hAnsi="等线(中文正文)" w:cs="等线(中文正文)" w:eastAsia="等线(中文正文)"/>
          <w:b w:val="false"/>
          <w:i w:val="false"/>
          <w:sz w:val="20"/>
        </w:rPr>
        <w:t/>
      </w:r>
    </w:p>
    <w:p>
      <w:pPr>
        <w:pStyle w:val="ab"/>
      </w:pPr>
      <w:r>
        <w:t>What were the operating margins for the overseas business last year and what is the expectation for this year?</w:t>
      </w:r>
    </w:p>
    <w:p>
      <w:r>
        <w:rPr>
          <w:rFonts w:ascii="等线(中文正文)" w:hAnsi="等线(中文正文)" w:cs="等线(中文正文)" w:eastAsia="等线(中文正文)"/>
          <w:b w:val="false"/>
          <w:i w:val="false"/>
          <w:sz w:val="20"/>
        </w:rPr>
        <w:t>发言人1：The operating margins for the overseas business were around 50% last year. For the coming new year, it is expected that the overseas business will have flat or low single-digit growth, and the margins are expected to be expanded due to cost control and restructuring.</w:t>
      </w:r>
    </w:p>
    <w:p>
      <w:r>
        <w:rPr>
          <w:rFonts w:ascii="等线(中文正文)" w:hAnsi="等线(中文正文)" w:cs="等线(中文正文)" w:eastAsia="等线(中文正文)"/>
          <w:b w:val="false"/>
          <w:i w:val="false"/>
          <w:sz w:val="20"/>
        </w:rPr>
        <w:t/>
      </w:r>
    </w:p>
    <w:p>
      <w:pPr>
        <w:pStyle w:val="ab"/>
      </w:pPr>
      <w:r>
        <w:t>What were the reasons for merging the overseas test business and consulting business?</w:t>
      </w:r>
    </w:p>
    <w:p>
      <w:r>
        <w:rPr>
          <w:rFonts w:ascii="等线(中文正文)" w:hAnsi="等线(中文正文)" w:cs="等线(中文正文)" w:eastAsia="等线(中文正文)"/>
          <w:b w:val="false"/>
          <w:i w:val="false"/>
          <w:sz w:val="20"/>
        </w:rPr>
        <w:t>发言人1：The overseas test business and consulting business were merged to streamline management, provide one-stop service to customers, and reduce current expenses.</w:t>
      </w:r>
    </w:p>
    <w:p>
      <w:r>
        <w:rPr>
          <w:rFonts w:ascii="等线(中文正文)" w:hAnsi="等线(中文正文)" w:cs="等线(中文正文)" w:eastAsia="等线(中文正文)"/>
          <w:b w:val="false"/>
          <w:i w:val="false"/>
          <w:sz w:val="20"/>
        </w:rPr>
        <w:t/>
      </w:r>
    </w:p>
    <w:p>
      <w:pPr>
        <w:pStyle w:val="ab"/>
      </w:pPr>
      <w:r>
        <w:t>How should the recent increase in selling distribution expenses be interpreted?</w:t>
      </w:r>
    </w:p>
    <w:p>
      <w:r>
        <w:rPr>
          <w:rFonts w:ascii="等线(中文正文)" w:hAnsi="等线(中文正文)" w:cs="等线(中文正文)" w:eastAsia="等线(中文正文)"/>
          <w:b w:val="false"/>
          <w:i w:val="false"/>
          <w:sz w:val="20"/>
        </w:rPr>
        <w:t>发言人1：The recent increase in selling distribution expenses is related to the expanded marketing efforts, and it is expected that the southern marketing expenses will decline as the revenue for the whole group increases due to the new products.</w:t>
      </w:r>
    </w:p>
    <w:p>
      <w:r>
        <w:rPr>
          <w:rFonts w:ascii="等线(中文正文)" w:hAnsi="等线(中文正文)" w:cs="等线(中文正文)" w:eastAsia="等线(中文正文)"/>
          <w:b w:val="false"/>
          <w:i w:val="false"/>
          <w:sz w:val="20"/>
        </w:rPr>
        <w:t/>
      </w:r>
    </w:p>
    <w:p>
      <w:pPr>
        <w:pStyle w:val="ab"/>
      </w:pPr>
      <w:r>
        <w:t>What are the savings expected from cost control efforts in the upcoming year?</w:t>
      </w:r>
    </w:p>
    <w:p>
      <w:r>
        <w:rPr>
          <w:rFonts w:ascii="等线(中文正文)" w:hAnsi="等线(中文正文)" w:cs="等线(中文正文)" w:eastAsia="等线(中文正文)"/>
          <w:b w:val="false"/>
          <w:i w:val="false"/>
          <w:sz w:val="20"/>
        </w:rPr>
        <w:t>发言人1：The company has started cost control efforts since March of the previous year and saved roughly a hundred million dollars in physical year twenty-six. The expectation is to save more than the previous year in the coming year through restructuring management teams and using AI to save legislative costs.</w:t>
      </w:r>
    </w:p>
    <w:p>
      <w:r>
        <w:rPr>
          <w:rFonts w:ascii="等线(中文正文)" w:hAnsi="等线(中文正文)" w:cs="等线(中文正文)" w:eastAsia="等线(中文正文)"/>
          <w:b w:val="false"/>
          <w:i w:val="false"/>
          <w:sz w:val="20"/>
        </w:rPr>
        <w:t/>
      </w:r>
    </w:p>
    <w:p>
      <w:pPr>
        <w:pStyle w:val="ab"/>
      </w:pPr>
      <w:r>
        <w:t>Does the company have a budget for capital expenditures in the coming year?</w:t>
      </w:r>
    </w:p>
    <w:p>
      <w:r>
        <w:rPr>
          <w:rFonts w:ascii="等线(中文正文)" w:hAnsi="等线(中文正文)" w:cs="等线(中文正文)" w:eastAsia="等线(中文正文)"/>
          <w:b w:val="false"/>
          <w:i w:val="false"/>
          <w:sz w:val="20"/>
        </w:rPr>
        <w:t>发言人1：Yes, the company has a budget for capital expenditures. The budget for the coming new year is $250 million, up from $225 million in the previous year.</w:t>
      </w:r>
    </w:p>
    <w:p>
      <w:r>
        <w:rPr>
          <w:rFonts w:ascii="等线(中文正文)" w:hAnsi="等线(中文正文)" w:cs="等线(中文正文)" w:eastAsia="等线(中文正文)"/>
          <w:b w:val="false"/>
          <w:i w:val="false"/>
          <w:sz w:val="20"/>
        </w:rPr>
        <w:t/>
      </w:r>
    </w:p>
    <w:p>
      <w:pPr>
        <w:pStyle w:val="ab"/>
      </w:pPr>
      <w:r>
        <w:t>What percentage increase in new kaba (square meters) was achieved last year and what are the plans for the coming new year?</w:t>
      </w:r>
    </w:p>
    <w:p>
      <w:r>
        <w:rPr>
          <w:rFonts w:ascii="等线(中文正文)" w:hAnsi="等线(中文正文)" w:cs="等线(中文正文)" w:eastAsia="等线(中文正文)"/>
          <w:b w:val="false"/>
          <w:i w:val="false"/>
          <w:sz w:val="20"/>
        </w:rPr>
        <w:t>发言人1：Last year, the company opened 13% new kaba in terms of square meters, and for the coming new year, they plan to open 10-15% new kaba.</w:t>
      </w:r>
    </w:p>
    <w:p>
      <w:r>
        <w:rPr>
          <w:rFonts w:ascii="等线(中文正文)" w:hAnsi="等线(中文正文)" w:cs="等线(中文正文)" w:eastAsia="等线(中文正文)"/>
          <w:b w:val="false"/>
          <w:i w:val="false"/>
          <w:sz w:val="20"/>
        </w:rPr>
        <w:t/>
      </w:r>
    </w:p>
    <w:p>
      <w:pPr>
        <w:pStyle w:val="ab"/>
      </w:pPr>
      <w:r>
        <w:t>How does the company expect the new capacity numbers to be impacted by IT and what is the anticipated growth?</w:t>
      </w:r>
    </w:p>
    <w:p>
      <w:r>
        <w:rPr>
          <w:rFonts w:ascii="等线(中文正文)" w:hAnsi="等线(中文正文)" w:cs="等线(中文正文)" w:eastAsia="等线(中文正文)"/>
          <w:b w:val="false"/>
          <w:i w:val="false"/>
          <w:sz w:val="20"/>
        </w:rPr>
        <w:t>发言人1：The company believes that the new capacity growth numbers will be in the lower but被淘汰过, suggesting that IT will drive the religious ary art and that the cost to build up new followers will be more significant, leading to a living more higher than the previous year.</w:t>
      </w:r>
    </w:p>
    <w:p>
      <w:r>
        <w:rPr>
          <w:rFonts w:ascii="等线(中文正文)" w:hAnsi="等线(中文正文)" w:cs="等线(中文正文)" w:eastAsia="等线(中文正文)"/>
          <w:b w:val="false"/>
          <w:i w:val="false"/>
          <w:sz w:val="20"/>
        </w:rPr>
        <w:t/>
      </w:r>
    </w:p>
    <w:p>
      <w:pPr>
        <w:pStyle w:val="ab"/>
      </w:pPr>
      <w:r>
        <w:t>What is the company's outlook on competition for this summer and the next three years?</w:t>
      </w:r>
    </w:p>
    <w:p>
      <w:r>
        <w:rPr>
          <w:rFonts w:ascii="等线(中文正文)" w:hAnsi="等线(中文正文)" w:cs="等线(中文正文)" w:eastAsia="等线(中文正文)"/>
          <w:b w:val="false"/>
          <w:i w:val="false"/>
          <w:sz w:val="20"/>
        </w:rPr>
        <w:t>发言人1：The company anticipates that the competition for this summer will be less than last year. Parents are expected to choose education companies more carefully, favoring those that offer the best education. Consequently, the big players are anticipated to gain more market share. The company provides guidance for higher revenue acceleration in the coming Q1 and sees a favorable three-year outlook.</w:t>
      </w:r>
    </w:p>
    <w:p>
      <w:r>
        <w:rPr>
          <w:rFonts w:ascii="等线(中文正文)" w:hAnsi="等线(中文正文)" w:cs="等线(中文正文)" w:eastAsia="等线(中文正文)"/>
          <w:b w:val="false"/>
          <w:i w:val="false"/>
          <w:sz w:val="20"/>
        </w:rPr>
        <w:t/>
      </w:r>
    </w:p>
    <w:p>
      <w:pPr>
        <w:pStyle w:val="ab"/>
      </w:pPr>
      <w:r>
        <w:t>How is the company incorporating AI into its teaching and learning processes?</w:t>
      </w:r>
    </w:p>
    <w:p>
      <w:r>
        <w:rPr>
          <w:rFonts w:ascii="等线(中文正文)" w:hAnsi="等线(中文正文)" w:cs="等线(中文正文)" w:eastAsia="等线(中文正文)"/>
          <w:b w:val="false"/>
          <w:i w:val="false"/>
          <w:sz w:val="20"/>
        </w:rPr>
        <w:t>发言人1：The company is leveraging AI technology in three main aspects: enhancing the quality of existing educational products and students' learning experience, developing new AI-powered products and platforms, and improving operational efficiency by using AI tools to save labor costs across various functions. They have embedded AI into learning devices and used AI tools in classrooms to improve teaching and learning efficiency and experience.</w:t>
      </w:r>
    </w:p>
    <w:p>
      <w:r>
        <w:rPr>
          <w:rFonts w:ascii="等线(中文正文)" w:hAnsi="等线(中文正文)" w:cs="等线(中文正文)" w:eastAsia="等线(中文正文)"/>
          <w:b w:val="false"/>
          <w:i w:val="false"/>
          <w:sz w:val="20"/>
        </w:rPr>
        <w:t/>
      </w:r>
    </w:p>
    <w:p>
      <w:pPr>
        <w:pStyle w:val="ab"/>
      </w:pPr>
      <w:r>
        <w:t>How is the company planning to use AI to improve operational efficiency?</w:t>
      </w:r>
    </w:p>
    <w:p>
      <w:r>
        <w:rPr>
          <w:rFonts w:ascii="等线(中文正文)" w:hAnsi="等线(中文正文)" w:cs="等线(中文正文)" w:eastAsia="等线(中文正文)"/>
          <w:b w:val="false"/>
          <w:i w:val="false"/>
          <w:sz w:val="20"/>
        </w:rPr>
        <w:t>发言人1：To improve operational efficiency, the company is utilizing AI technology to save labor costs across various functions. They are using AI tools to enhance efficiency for teachers and administrative staff, allowing them to handle more work without needing to hire additional staff, which in turn reduces HR costs and improves efficiency.</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2026-07-30T15:06:09Z</dcterms:created>
  <dc:creator>Apache POI</dc:creator>
</cp:coreProperties>
</file>