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国联民生固收 - 如何做好地方债投资 260729_导读</w:t>
      </w:r>
    </w:p>
    <w:p>
      <w:pPr>
        <w:pStyle w:val="a0"/>
        <w:jc w:val="center"/>
      </w:pPr>
      <w:r>
        <w:t>2026年07月29日 22:18</w:t>
      </w:r>
    </w:p>
    <w:p>
      <w:pPr>
        <w:pStyle w:val="a7"/>
      </w:pPr>
      <w:r>
        <w:t>关键词</w:t>
      </w:r>
    </w:p>
    <w:p>
      <w:r>
        <w:rPr>
          <w:rFonts w:ascii="等线(中文正文)" w:hAnsi="等线(中文正文)" w:cs="等线(中文正文)" w:eastAsia="等线(中文正文)"/>
          <w:b w:val="false"/>
          <w:i w:val="false"/>
          <w:sz w:val="20"/>
        </w:rPr>
        <w:t xml:space="preserve">地方债 固收团队 黄子怡 发行量 新增额度 存量规模 剩余期限 发行定价 利差 市场化定价 区域分化 投标加点 二级市场 新增债 再融资债 置换债 隐性债务 化解 拖欠企业账款 专项债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组织者首先对所有参会者的到来表示感谢，并宣布会议正式开始。会议集中讨论了地方政府债的投资策略，深入分析了当前市场情况及其影响因素，包括流动性、利率调整、供给量以及区域差异等。特别地，讨论了地方债的流动性、定价机制，并详细比较了不同期限、区域以及新老券之间的差异。会议在感谢参会者的积极参与后圆满结束，并祝愿大家生活愉快。</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国联民生固收会议：地方债投资策略研讨</w:t>
      </w:r>
    </w:p>
    <w:p>
      <w:r>
        <w:rPr>
          <w:rFonts w:ascii="等线(中文正文)" w:hAnsi="等线(中文正文)" w:cs="等线(中文正文)" w:eastAsia="等线(中文正文)"/>
          <w:b w:val="false"/>
          <w:i w:val="false"/>
          <w:sz w:val="20"/>
        </w:rPr>
        <w:t>会议欢迎词后，声明了会议服务对象仅限于国联民生证券研究所白名单客户，强调投资决策自主性及风险自担，同时警告未经许可不得复制或传播会议内容，否则将追究法律责任。</w:t>
      </w:r>
    </w:p>
    <w:p>
      <w:r>
        <w:rPr>
          <w:rFonts w:ascii="等线(中文正文)" w:hAnsi="等线(中文正文)" w:cs="等线(中文正文)" w:eastAsia="等线(中文正文)"/>
          <w:b w:val="false"/>
          <w:i w:val="false"/>
          <w:sz w:val="20"/>
        </w:rPr>
        <w:t/>
      </w:r>
    </w:p>
    <w:p>
      <w:pPr>
        <w:pStyle w:val="ab"/>
        <w:numPr>
          <w:numId w:val="2"/>
        </w:numPr>
      </w:pPr>
      <w:r>
        <w:t>14:07 地方债投资分析与市场概况</w:t>
      </w:r>
    </w:p>
    <w:p>
      <w:r>
        <w:rPr>
          <w:rFonts w:ascii="等线(中文正文)" w:hAnsi="等线(中文正文)" w:cs="等线(中文正文)" w:eastAsia="等线(中文正文)"/>
          <w:b w:val="false"/>
          <w:i w:val="false"/>
          <w:sz w:val="20"/>
        </w:rPr>
        <w:t>对话深入探讨了地方政府债的投资策略，强调了自2009年以来地方债发行量显著增长的背景，特别是2015年后进入新增额度安排阶段。目前，地方债存量规模达58.8万亿元，占据债券市场约30%份额，其中十年期限债券占比约六成，超长债占40%。讨论还涉及地方债的代发、代还及自发自还三个发展阶段，以及当前市场扩容趋势。</w:t>
      </w:r>
    </w:p>
    <w:p>
      <w:r>
        <w:rPr>
          <w:rFonts w:ascii="等线(中文正文)" w:hAnsi="等线(中文正文)" w:cs="等线(中文正文)" w:eastAsia="等线(中文正文)"/>
          <w:b w:val="false"/>
          <w:i w:val="false"/>
          <w:sz w:val="20"/>
        </w:rPr>
        <w:t/>
      </w:r>
    </w:p>
    <w:p>
      <w:pPr>
        <w:pStyle w:val="ab"/>
        <w:numPr>
          <w:numId w:val="3"/>
        </w:numPr>
      </w:pPr>
      <w:r>
        <w:t>16:05 超长债发行定价的历史演变与市场化趋势</w:t>
      </w:r>
    </w:p>
    <w:p>
      <w:r>
        <w:rPr>
          <w:rFonts w:ascii="等线(中文正文)" w:hAnsi="等线(中文正文)" w:cs="等线(中文正文)" w:eastAsia="等线(中文正文)"/>
          <w:b w:val="false"/>
          <w:i w:val="false"/>
          <w:sz w:val="20"/>
        </w:rPr>
        <w:t>对话详述了超长债发行定价的三个阶段，从地方债规范化起步到市场化深化，包括财政部规定加点规则的调整，及各地区差异化的利差变化，特别指出广东省在调整投标加点中的引领作用。</w:t>
      </w:r>
    </w:p>
    <w:p>
      <w:r>
        <w:rPr>
          <w:rFonts w:ascii="等线(中文正文)" w:hAnsi="等线(中文正文)" w:cs="等线(中文正文)" w:eastAsia="等线(中文正文)"/>
          <w:b w:val="false"/>
          <w:i w:val="false"/>
          <w:sz w:val="20"/>
        </w:rPr>
        <w:t/>
      </w:r>
    </w:p>
    <w:p>
      <w:pPr>
        <w:pStyle w:val="ab"/>
        <w:numPr>
          <w:numId w:val="4"/>
        </w:numPr>
      </w:pPr>
      <w:r>
        <w:t>20:13 地方债加点下调对市场利差的影响分析</w:t>
      </w:r>
    </w:p>
    <w:p>
      <w:r>
        <w:rPr>
          <w:rFonts w:ascii="等线(中文正文)" w:hAnsi="等线(中文正文)" w:cs="等线(中文正文)" w:eastAsia="等线(中文正文)"/>
          <w:b w:val="false"/>
          <w:i w:val="false"/>
          <w:sz w:val="20"/>
        </w:rPr>
        <w:t>讨论了地方债加点下调对二级市场利差的影响，指出加点下调有利于利差下降，但实际发行结果未完全按预期进行。分析显示，随着加点全面下调至0BP，市场定价将更加市场化，尤其十年以内中短品种利差有望进一步压缩至0BP。</w:t>
      </w:r>
    </w:p>
    <w:p>
      <w:r>
        <w:rPr>
          <w:rFonts w:ascii="等线(中文正文)" w:hAnsi="等线(中文正文)" w:cs="等线(中文正文)" w:eastAsia="等线(中文正文)"/>
          <w:b w:val="false"/>
          <w:i w:val="false"/>
          <w:sz w:val="20"/>
        </w:rPr>
        <w:t/>
      </w:r>
    </w:p>
    <w:p>
      <w:pPr>
        <w:pStyle w:val="ab"/>
        <w:numPr>
          <w:numId w:val="5"/>
        </w:numPr>
      </w:pPr>
      <w:r>
        <w:t>22:23 地方债分类与跟踪策略详解</w:t>
      </w:r>
    </w:p>
    <w:p>
      <w:r>
        <w:rPr>
          <w:rFonts w:ascii="等线(中文正文)" w:hAnsi="等线(中文正文)" w:cs="等线(中文正文)" w:eastAsia="等线(中文正文)"/>
          <w:b w:val="false"/>
          <w:i w:val="false"/>
          <w:sz w:val="20"/>
        </w:rPr>
        <w:t>对话深入探讨了地方债的分类，包括新增债、再融资债和置换债，以及其在一级市场和二级市场的跟踪逻辑。新增债涵盖新增一般债和专项债，其中特殊新增专项债用于化解隐性债务，额度灵活。再融资债用于借新还旧，特殊再融资债动用历史留存限额。置换债则用于置换存量隐性债务，总量有限。整体分类旨在帮助跟踪地方债供给进度。</w:t>
      </w:r>
    </w:p>
    <w:p>
      <w:r>
        <w:rPr>
          <w:rFonts w:ascii="等线(中文正文)" w:hAnsi="等线(中文正文)" w:cs="等线(中文正文)" w:eastAsia="等线(中文正文)"/>
          <w:b w:val="false"/>
          <w:i w:val="false"/>
          <w:sz w:val="20"/>
        </w:rPr>
        <w:t/>
      </w:r>
    </w:p>
    <w:p>
      <w:pPr>
        <w:pStyle w:val="ab"/>
        <w:numPr>
          <w:numId w:val="6"/>
        </w:numPr>
      </w:pPr>
      <w:r>
        <w:t>25:02 地方债流动性分析与市场表现</w:t>
      </w:r>
    </w:p>
    <w:p>
      <w:r>
        <w:rPr>
          <w:rFonts w:ascii="等线(中文正文)" w:hAnsi="等线(中文正文)" w:cs="等线(中文正文)" w:eastAsia="等线(中文正文)"/>
          <w:b w:val="false"/>
          <w:i w:val="false"/>
          <w:sz w:val="20"/>
        </w:rPr>
        <w:t>对话深入探讨了地方政府债券的分类、偿债来源、风险权重及流动性特征。指出专项债与一般债在收益率、资本占用和市场流动性上的差异，以及地方债流动性较弱的根本原因在于其不续发特性。此外，还分析了2023年四季度以来地方债流动性改善的趋势，新券流动性优于老券的现象，以及投资者偏好新券的市场行为。</w:t>
      </w:r>
    </w:p>
    <w:p>
      <w:r>
        <w:rPr>
          <w:rFonts w:ascii="等线(中文正文)" w:hAnsi="等线(中文正文)" w:cs="等线(中文正文)" w:eastAsia="等线(中文正文)"/>
          <w:b w:val="false"/>
          <w:i w:val="false"/>
          <w:sz w:val="20"/>
        </w:rPr>
        <w:t/>
      </w:r>
    </w:p>
    <w:p>
      <w:pPr>
        <w:pStyle w:val="ab"/>
        <w:numPr>
          <w:numId w:val="7"/>
        </w:numPr>
      </w:pPr>
      <w:r>
        <w:t>28:32 地方债市场参与机构与投资偏好分析</w:t>
      </w:r>
    </w:p>
    <w:p>
      <w:r>
        <w:rPr>
          <w:rFonts w:ascii="等线(中文正文)" w:hAnsi="等线(中文正文)" w:cs="等线(中文正文)" w:eastAsia="等线(中文正文)"/>
          <w:b w:val="false"/>
          <w:i w:val="false"/>
          <w:sz w:val="20"/>
        </w:rPr>
        <w:t>地方债市场中，商业银行曾是主要持有者，占比从2021年的84%降至2026年6月的70%。银行偏好5-10年期地方政府债，其中城商行和农商行在二级市场有特定买入策略。分析显示，银行投资利率债的综合税前收益高于信贷，国债性价比高于地方债，但具体投资还需考虑其他因素。此外，其他机构也参与地方债市场，需关注其投资行为。</w:t>
      </w:r>
    </w:p>
    <w:p>
      <w:r>
        <w:rPr>
          <w:rFonts w:ascii="等线(中文正文)" w:hAnsi="等线(中文正文)" w:cs="等线(中文正文)" w:eastAsia="等线(中文正文)"/>
          <w:b w:val="false"/>
          <w:i w:val="false"/>
          <w:sz w:val="20"/>
        </w:rPr>
        <w:t/>
      </w:r>
    </w:p>
    <w:p>
      <w:pPr>
        <w:pStyle w:val="ab"/>
        <w:numPr>
          <w:numId w:val="8"/>
        </w:numPr>
      </w:pPr>
      <w:r>
        <w:t>31:29 央行买断式逆回购与地方政府债市场动态</w:t>
      </w:r>
    </w:p>
    <w:p>
      <w:r>
        <w:rPr>
          <w:rFonts w:ascii="等线(中文正文)" w:hAnsi="等线(中文正文)" w:cs="等线(中文正文)" w:eastAsia="等线(中文正文)"/>
          <w:b w:val="false"/>
          <w:i w:val="false"/>
          <w:sz w:val="20"/>
        </w:rPr>
        <w:t>讨论了央行自2024年10月起通过买断式逆回购大量持有地方政府债的情况，以及非谈产品、券商、保险等机构在地方政府债市场的参与度和策略变化，特别是保险机构对超长地方政府债的大量净买入现象。</w:t>
      </w:r>
    </w:p>
    <w:p>
      <w:r>
        <w:rPr>
          <w:rFonts w:ascii="等线(中文正文)" w:hAnsi="等线(中文正文)" w:cs="等线(中文正文)" w:eastAsia="等线(中文正文)"/>
          <w:b w:val="false"/>
          <w:i w:val="false"/>
          <w:sz w:val="20"/>
        </w:rPr>
        <w:t/>
      </w:r>
    </w:p>
    <w:p>
      <w:pPr>
        <w:pStyle w:val="ab"/>
        <w:numPr>
          <w:numId w:val="9"/>
        </w:numPr>
      </w:pPr>
      <w:r>
        <w:t>34:21 超长地方债市场：机构行为分析及收益率曲线分化</w:t>
      </w:r>
    </w:p>
    <w:p>
      <w:r>
        <w:rPr>
          <w:rFonts w:ascii="等线(中文正文)" w:hAnsi="等线(中文正文)" w:cs="等线(中文正文)" w:eastAsia="等线(中文正文)"/>
          <w:b w:val="false"/>
          <w:i w:val="false"/>
          <w:sz w:val="20"/>
        </w:rPr>
        <w:t>今年上半年，不同机构在15、20和30年期地方债上的行为显著变化，导致收益率曲线走势分化。中小型银行在一季度持续买入15年期地方债，基金在3到5月跟随。20年期地方债上半年迎来大量净买入，尤其是基金和其他机构在二季度。30年期地方债保险增量配置，6月起超量配置明显，压缩了与国债品种的利差。</w:t>
      </w:r>
    </w:p>
    <w:p>
      <w:r>
        <w:rPr>
          <w:rFonts w:ascii="等线(中文正文)" w:hAnsi="等线(中文正文)" w:cs="等线(中文正文)" w:eastAsia="等线(中文正文)"/>
          <w:b w:val="false"/>
          <w:i w:val="false"/>
          <w:sz w:val="20"/>
        </w:rPr>
        <w:t/>
      </w:r>
    </w:p>
    <w:p>
      <w:pPr>
        <w:pStyle w:val="ab"/>
        <w:numPr>
          <w:numId w:val="10"/>
        </w:numPr>
      </w:pPr>
      <w:r>
        <w:t>36:47 地方债投资价值评估与策略选择</w:t>
      </w:r>
    </w:p>
    <w:p>
      <w:r>
        <w:rPr>
          <w:rFonts w:ascii="等线(中文正文)" w:hAnsi="等线(中文正文)" w:cs="等线(中文正文)" w:eastAsia="等线(中文正文)"/>
          <w:b w:val="false"/>
          <w:i w:val="false"/>
          <w:sz w:val="20"/>
        </w:rPr>
        <w:t>地方债投资价值评估需关注其与国债的利差变化，因其长期稳定提供较高票息且波动较低，适合以票息策略为主的投资组合，通过择时增厚相对收益。</w:t>
      </w:r>
    </w:p>
    <w:p>
      <w:r>
        <w:rPr>
          <w:rFonts w:ascii="等线(中文正文)" w:hAnsi="等线(中文正文)" w:cs="等线(中文正文)" w:eastAsia="等线(中文正文)"/>
          <w:b w:val="false"/>
          <w:i w:val="false"/>
          <w:sz w:val="20"/>
        </w:rPr>
        <w:t/>
      </w:r>
    </w:p>
    <w:p>
      <w:pPr>
        <w:pStyle w:val="ab"/>
        <w:numPr>
          <w:numId w:val="11"/>
        </w:numPr>
      </w:pPr>
      <w:r>
        <w:t>38:05 地方债与国债利差影响因素分析及投资策略</w:t>
      </w:r>
    </w:p>
    <w:p>
      <w:r>
        <w:rPr>
          <w:rFonts w:ascii="等线(中文正文)" w:hAnsi="等线(中文正文)" w:cs="等线(中文正文)" w:eastAsia="等线(中文正文)"/>
          <w:b w:val="false"/>
          <w:i w:val="false"/>
          <w:sz w:val="20"/>
        </w:rPr>
        <w:t>分析了流动性充裕、利率快速调整、相对供给变化对地方债与国债利差的影响，指出地方债在资产荒时性价比高，利率调整时更抗跌，建议将部分国债和国开债老券转换为地方债作为底仓，同时关注供给变化对利差的影响。</w:t>
      </w:r>
    </w:p>
    <w:p>
      <w:r>
        <w:rPr>
          <w:rFonts w:ascii="等线(中文正文)" w:hAnsi="等线(中文正文)" w:cs="等线(中文正文)" w:eastAsia="等线(中文正文)"/>
          <w:b w:val="false"/>
          <w:i w:val="false"/>
          <w:sz w:val="20"/>
        </w:rPr>
        <w:t/>
      </w:r>
    </w:p>
    <w:p>
      <w:pPr>
        <w:pStyle w:val="ab"/>
        <w:numPr>
          <w:numId w:val="12"/>
        </w:numPr>
      </w:pPr>
      <w:r>
        <w:t>42:17 政府债发行规模与流动性影响分析</w:t>
      </w:r>
    </w:p>
    <w:p>
      <w:r>
        <w:rPr>
          <w:rFonts w:ascii="等线(中文正文)" w:hAnsi="等线(中文正文)" w:cs="等线(中文正文)" w:eastAsia="等线(中文正文)"/>
          <w:b w:val="false"/>
          <w:i w:val="false"/>
          <w:sz w:val="20"/>
        </w:rPr>
        <w:t>讨论了三季度政府债供给规模，预测八月和九月发行量及净融资额，关注地方债利率波动和品种利差，同时分析了中长期流动性工具对银行消化超长地方政府债的影响及降准可能性。</w:t>
      </w:r>
    </w:p>
    <w:p>
      <w:r>
        <w:rPr>
          <w:rFonts w:ascii="等线(中文正文)" w:hAnsi="等线(中文正文)" w:cs="等线(中文正文)" w:eastAsia="等线(中文正文)"/>
          <w:b w:val="false"/>
          <w:i w:val="false"/>
          <w:sz w:val="20"/>
        </w:rPr>
        <w:t/>
      </w:r>
    </w:p>
    <w:p>
      <w:pPr>
        <w:pStyle w:val="ab"/>
        <w:numPr>
          <w:numId w:val="13"/>
        </w:numPr>
      </w:pPr>
      <w:r>
        <w:t>45:08 地方债市场分析：一级与二级市场联动及配置策略</w:t>
      </w:r>
    </w:p>
    <w:p>
      <w:r>
        <w:rPr>
          <w:rFonts w:ascii="等线(中文正文)" w:hAnsi="等线(中文正文)" w:cs="等线(中文正文)" w:eastAsia="等线(中文正文)"/>
          <w:b w:val="false"/>
          <w:i w:val="false"/>
          <w:sz w:val="20"/>
        </w:rPr>
        <w:t>讨论了地方债市场的一级与二级市场联动机制，分析了利差变化趋势及其对市场情绪的影响，指出当前超长债供给下降、配置盘支撑韧性增强的背景下，地方债的相对价值投资机会，特别强调了保险配置节奏对30年期地方债利差的影响。</w:t>
      </w:r>
    </w:p>
    <w:p>
      <w:r>
        <w:rPr>
          <w:rFonts w:ascii="等线(中文正文)" w:hAnsi="等线(中文正文)" w:cs="等线(中文正文)" w:eastAsia="等线(中文正文)"/>
          <w:b w:val="false"/>
          <w:i w:val="false"/>
          <w:sz w:val="20"/>
        </w:rPr>
        <w:t/>
      </w:r>
    </w:p>
    <w:p>
      <w:pPr>
        <w:pStyle w:val="ab"/>
        <w:numPr>
          <w:numId w:val="14"/>
        </w:numPr>
      </w:pPr>
      <w:r>
        <w:t>49:31 30年期国债与地方债利差变化分析</w:t>
      </w:r>
    </w:p>
    <w:p>
      <w:r>
        <w:rPr>
          <w:rFonts w:ascii="等线(中文正文)" w:hAnsi="等线(中文正文)" w:cs="等线(中文正文)" w:eastAsia="等线(中文正文)"/>
          <w:b w:val="false"/>
          <w:i w:val="false"/>
          <w:sz w:val="20"/>
        </w:rPr>
        <w:t>讨论了30年期不含税国债与地方债老券的利差变化，指出2026年出现倒挂现象，以往倒挂后国债表现更佳。近期两者走势趋同，若情绪持续向好，国债可能有更多下行空间，调整时差异不大，当前国债更具性价比。</w:t>
      </w:r>
    </w:p>
    <w:p>
      <w:r>
        <w:rPr>
          <w:rFonts w:ascii="等线(中文正文)" w:hAnsi="等线(中文正文)" w:cs="等线(中文正文)" w:eastAsia="等线(中文正文)"/>
          <w:b w:val="false"/>
          <w:i w:val="false"/>
          <w:sz w:val="20"/>
        </w:rPr>
        <w:t/>
      </w:r>
    </w:p>
    <w:p>
      <w:pPr>
        <w:pStyle w:val="ab"/>
        <w:numPr>
          <w:numId w:val="15"/>
        </w:numPr>
      </w:pPr>
      <w:r>
        <w:t>51:12 地方债流动性分析与筛选策略</w:t>
      </w:r>
    </w:p>
    <w:p>
      <w:r>
        <w:rPr>
          <w:rFonts w:ascii="等线(中文正文)" w:hAnsi="等线(中文正文)" w:cs="等线(中文正文)" w:eastAsia="等线(中文正文)"/>
          <w:b w:val="false"/>
          <w:i w:val="false"/>
          <w:sz w:val="20"/>
        </w:rPr>
        <w:t>对话深入探讨了地方债在不同期限、区域以及新老券标的上的流动性特征，指出2024年5至10年期地方债流动性较好，而2025年后流动性转向15至20年及25至30年期限。模型显示，发行规模是影响流动性最大因素，且存在阈值效应，即达到一定规模后流动性显著提升。发达地区新发行债券需达到特定规模才能保证高流动性，超长端品种流动性持续时间更长，建议通过参与凸点和期限利差角度选择有价值期限位置。</w:t>
      </w:r>
    </w:p>
    <w:p>
      <w:r>
        <w:rPr>
          <w:rFonts w:ascii="等线(中文正文)" w:hAnsi="等线(中文正文)" w:cs="等线(中文正文)" w:eastAsia="等线(中文正文)"/>
          <w:b w:val="false"/>
          <w:i w:val="false"/>
          <w:sz w:val="20"/>
        </w:rPr>
        <w:t/>
      </w:r>
    </w:p>
    <w:p>
      <w:pPr>
        <w:pStyle w:val="ab"/>
        <w:numPr>
          <w:numId w:val="16"/>
        </w:numPr>
      </w:pPr>
      <w:r>
        <w:t>54:58 地方债区域利差分析与流动性特征探讨</w:t>
      </w:r>
    </w:p>
    <w:p>
      <w:r>
        <w:rPr>
          <w:rFonts w:ascii="等线(中文正文)" w:hAnsi="等线(中文正文)" w:cs="等线(中文正文)" w:eastAsia="等线(中文正文)"/>
          <w:b w:val="false"/>
          <w:i w:val="false"/>
          <w:sz w:val="20"/>
        </w:rPr>
        <w:t>对话讨论了地方债的区域利差现象，指出高收益与低收益地区间存在明显价差，且这种利差有均值回归趋势。不同期限间的利差变化缺乏联动性，受流动性影响较大。分析了高收益地区发行对中部及低收益地区利差的影响，建议在特定条件下参与区域利差的交易策略。最后，强调了区域流动性特征，指出成交量与地方政府债发行量相关，建议关注流动性较好的债券。</w:t>
      </w:r>
    </w:p>
    <w:p>
      <w:r>
        <w:rPr>
          <w:rFonts w:ascii="等线(中文正文)" w:hAnsi="等线(中文正文)" w:cs="等线(中文正文)" w:eastAsia="等线(中文正文)"/>
          <w:b w:val="false"/>
          <w:i w:val="false"/>
          <w:sz w:val="20"/>
        </w:rPr>
        <w:t/>
      </w:r>
    </w:p>
    <w:p>
      <w:pPr>
        <w:pStyle w:val="ab"/>
        <w:numPr>
          <w:numId w:val="17"/>
        </w:numPr>
      </w:pPr>
      <w:r>
        <w:t>59:23 地方债市场分析：流动性溢价与隐含税率视角</w:t>
      </w:r>
    </w:p>
    <w:p>
      <w:r>
        <w:rPr>
          <w:rFonts w:ascii="等线(中文正文)" w:hAnsi="等线(中文正文)" w:cs="等线(中文正文)" w:eastAsia="等线(中文正文)"/>
          <w:b w:val="false"/>
          <w:i w:val="false"/>
          <w:sz w:val="20"/>
        </w:rPr>
        <w:t>讨论了地方债市场的流动性溢价和隐含税率变化对债券定价的影响，指出新券在隐含税率较高时性价比更高，而老券在税率较低时更具吸引力。会议还分享了山东地方债的案例，强调了新券交易的优势，并提及不同期限地方债的隐含税率均值回归特征。</w:t>
      </w:r>
    </w:p>
    <w:p>
      <w:r>
        <w:rPr>
          <w:rFonts w:ascii="等线(中文正文)" w:hAnsi="等线(中文正文)" w:cs="等线(中文正文)" w:eastAsia="等线(中文正文)"/>
          <w:b w:val="false"/>
          <w:i w:val="false"/>
          <w:sz w:val="20"/>
        </w:rPr>
        <w:t/>
      </w:r>
    </w:p>
    <w:p>
      <w:pPr>
        <w:pStyle w:val="a7"/>
      </w:pPr>
      <w:r>
        <w:t>发言总结</w:t>
      </w:r>
    </w:p>
    <w:p>
      <w:pPr>
        <w:pStyle w:val="ab"/>
        <w:numPr>
          <w:numId w:val="18"/>
        </w:numPr>
      </w:pPr>
      <w:r>
        <w:t>发言人1</w:t>
      </w:r>
    </w:p>
    <w:p>
      <w:r>
        <w:rPr>
          <w:rFonts w:ascii="等线(中文正文)" w:hAnsi="等线(中文正文)" w:cs="等线(中文正文)" w:eastAsia="等线(中文正文)"/>
          <w:b w:val="false"/>
          <w:i w:val="false"/>
          <w:sz w:val="20"/>
        </w:rPr>
        <w:t>主持并介绍了本次国联民生固收团队的固收实物投研框架系列会议，明确会议目的在于深入讨论地方政府债的投资策略。发言中首先感谢了所有参与者的到来，并对会议的日程和内容进行了详细介绍。他深入分析了地方政府债的发展现状，包括投资者结构、发行定价的变化，并探讨了这些因素对未来趋势的影响。特别强调了在不同期限、区域以及新老券选择上的策略，为参与者提供了具体的分析和建议，帮助大家更好地理解地方政府债市场，从而为有效投资提供指导。</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问：目前地方债发行的价格调整方式以及下调对二级市场利差的影响是怎样的？</w:t>
      </w:r>
    </w:p>
    <w:p>
      <w:r>
        <w:rPr>
          <w:rFonts w:ascii="等线(中文正文)" w:hAnsi="等线(中文正文)" w:cs="等线(中文正文)" w:eastAsia="等线(中文正文)"/>
          <w:b w:val="false"/>
          <w:i w:val="false"/>
          <w:sz w:val="20"/>
        </w:rPr>
        <w:t>发言人1 答：目前大部分地区采用同期限五日国债均值加投标加点的方式定价。每一轮下调过程中，广东省率先下调投标价点，虽然一级市场的价格下调不一定立即带动二级市场利差收缩，但加点下调会利好二级市场品种利差下降。例如，在22年第二轮利差下调后，十年期地方债利差从之前未低于20BP降至10BP左右，到24年6月到8月时甚至来到6BP左右低位。</w:t>
      </w:r>
    </w:p>
    <w:p>
      <w:r>
        <w:rPr>
          <w:rFonts w:ascii="等线(中文正文)" w:hAnsi="等线(中文正文)" w:cs="等线(中文正文)" w:eastAsia="等线(中文正文)"/>
          <w:b w:val="false"/>
          <w:i w:val="false"/>
          <w:sz w:val="20"/>
        </w:rPr>
        <w:t/>
      </w:r>
    </w:p>
    <w:p>
      <w:pPr>
        <w:pStyle w:val="ab"/>
      </w:pPr>
      <w:r>
        <w:t>发言人1 问：近期浙江和江苏地方债投标下调的情况如何，以及这种下调对未来的影响？</w:t>
      </w:r>
    </w:p>
    <w:p>
      <w:r>
        <w:rPr>
          <w:rFonts w:ascii="等线(中文正文)" w:hAnsi="等线(中文正文)" w:cs="等线(中文正文)" w:eastAsia="等线(中文正文)"/>
          <w:b w:val="false"/>
          <w:i w:val="false"/>
          <w:sz w:val="20"/>
        </w:rPr>
        <w:t>发言人1 答：上周浙江与江苏对部分期限的债券进行了投标下调，尽管实际发行结果并未完全按照下调幅度发行，但标志着部分地区的投标加点已全部落地。根据历史经验，只有少数地区会在实际情况下上调加点，意味着如果后续全面铺开，一级市场的定价将更为市场化。</w:t>
      </w:r>
    </w:p>
    <w:p>
      <w:r>
        <w:rPr>
          <w:rFonts w:ascii="等线(中文正文)" w:hAnsi="等线(中文正文)" w:cs="等线(中文正文)" w:eastAsia="等线(中文正文)"/>
          <w:b w:val="false"/>
          <w:i w:val="false"/>
          <w:sz w:val="20"/>
        </w:rPr>
        <w:t/>
      </w:r>
    </w:p>
    <w:p>
      <w:pPr>
        <w:pStyle w:val="ab"/>
      </w:pPr>
      <w:r>
        <w:t>发言人1 问：不同期限地方政府债与国债发行利差的情况如何？</w:t>
      </w:r>
    </w:p>
    <w:p>
      <w:r>
        <w:rPr>
          <w:rFonts w:ascii="等线(中文正文)" w:hAnsi="等线(中文正文)" w:cs="等线(中文正文)" w:eastAsia="等线(中文正文)"/>
          <w:b w:val="false"/>
          <w:i w:val="false"/>
          <w:sz w:val="20"/>
        </w:rPr>
        <w:t>发言人1 答：今年以来，期限间的利差差异明显，十年及以内期限基本在加5BP发行，二级市场的品种利差也在5到10BP之间震荡。若一级市场持续下调投标加点，可能推动十年以内中短品种利差进一步压缩至0BP。</w:t>
      </w:r>
    </w:p>
    <w:p>
      <w:r>
        <w:rPr>
          <w:rFonts w:ascii="等线(中文正文)" w:hAnsi="等线(中文正文)" w:cs="等线(中文正文)" w:eastAsia="等线(中文正文)"/>
          <w:b w:val="false"/>
          <w:i w:val="false"/>
          <w:sz w:val="20"/>
        </w:rPr>
        <w:t/>
      </w:r>
    </w:p>
    <w:p>
      <w:pPr>
        <w:pStyle w:val="ab"/>
      </w:pPr>
      <w:r>
        <w:t>发言人1 问：对于地方债的分类和跟踪逻辑是怎样的？地方债在二级市场上的表现及流动性状况如何？</w:t>
      </w:r>
    </w:p>
    <w:p>
      <w:r>
        <w:rPr>
          <w:rFonts w:ascii="等线(中文正文)" w:hAnsi="等线(中文正文)" w:cs="等线(中文正文)" w:eastAsia="等线(中文正文)"/>
          <w:b w:val="false"/>
          <w:i w:val="false"/>
          <w:sz w:val="20"/>
        </w:rPr>
        <w:t>发言人1 答：地方债分类复杂，建议按照一级市场和二级市场两个逻辑进行跟踪。一级市场主要包括新增债（一般债和专项债）、再融资债和置换债三类。新增债分为一般债和专项债，额度分别为8000亿元和4.4万亿元，其中特殊新增专项债用于化解地方隐性债务等；再融资债主要用于偿还到期地方债务，而置换债则是用于置换存量隐性债务的专项债类型。在二级市场上，地方债主要分为一般债和专项债两类，两者偿债来源不同，一般债依赖公共预算收入，专项债依赖项目收益和政府性基金收入，因此专项债收益率通常略高于一般债。不过实际投资中，相同条件下一般债和专项债的价格几乎没有价差，利差一般在2MBP左右。此外，由于地方债存量规模大但活跃度低于国债和政金债，流动性受限于单券规模较小，不过自2023年四季度以来，地方债流动性逐步改善，新券流动性优于老券，且银行类机构仍是主要持有者，并偏好投资5-10年期的地方政府债。</w:t>
      </w:r>
    </w:p>
    <w:p>
      <w:r>
        <w:rPr>
          <w:rFonts w:ascii="等线(中文正文)" w:hAnsi="等线(中文正文)" w:cs="等线(中文正文)" w:eastAsia="等线(中文正文)"/>
          <w:b w:val="false"/>
          <w:i w:val="false"/>
          <w:sz w:val="20"/>
        </w:rPr>
        <w:t/>
      </w:r>
    </w:p>
    <w:p>
      <w:pPr>
        <w:pStyle w:val="ab"/>
      </w:pPr>
      <w:r>
        <w:t>发言人1 问：在二级市场上，农商行对十年期地方政府债的投资偏好如何？</w:t>
      </w:r>
    </w:p>
    <w:p>
      <w:r>
        <w:rPr>
          <w:rFonts w:ascii="等线(中文正文)" w:hAnsi="等线(中文正文)" w:cs="等线(中文正文)" w:eastAsia="等线(中文正文)"/>
          <w:b w:val="false"/>
          <w:i w:val="false"/>
          <w:sz w:val="20"/>
        </w:rPr>
        <w:t>发言人1 答：农商行在二级市场上对十年期地方政府债有持续偏好，尤其是在利差收窄时表现出明显的止盈行为。数据显示，截至某个时间点，农商行投资十年期地方政府债的综合税前收益高于信贷收益。</w:t>
      </w:r>
    </w:p>
    <w:p>
      <w:r>
        <w:rPr>
          <w:rFonts w:ascii="等线(中文正文)" w:hAnsi="等线(中文正文)" w:cs="等线(中文正文)" w:eastAsia="等线(中文正文)"/>
          <w:b w:val="false"/>
          <w:i w:val="false"/>
          <w:sz w:val="20"/>
        </w:rPr>
        <w:t/>
      </w:r>
    </w:p>
    <w:p>
      <w:pPr>
        <w:pStyle w:val="ab"/>
      </w:pPr>
      <w:r>
        <w:t>发言人1 问：目前国债和地方债在品种方面的性价比有何不同？</w:t>
      </w:r>
    </w:p>
    <w:p>
      <w:r>
        <w:rPr>
          <w:rFonts w:ascii="等线(中文正文)" w:hAnsi="等线(中文正文)" w:cs="等线(中文正文)" w:eastAsia="等线(中文正文)"/>
          <w:b w:val="false"/>
          <w:i w:val="false"/>
          <w:sz w:val="20"/>
        </w:rPr>
        <w:t>发言人1 答：目前来看，对于不同期限的债券品种，国债在十年期以内与地方债相比性价比更高，但当品种利差大于10BP时，地方债（如专项债）的性价比逐渐显现。在特定条件下，当品种利差高于20BP时，专项债的性价比会优于国债。</w:t>
      </w:r>
    </w:p>
    <w:p>
      <w:r>
        <w:rPr>
          <w:rFonts w:ascii="等线(中文正文)" w:hAnsi="等线(中文正文)" w:cs="等线(中文正文)" w:eastAsia="等线(中文正文)"/>
          <w:b w:val="false"/>
          <w:i w:val="false"/>
          <w:sz w:val="20"/>
        </w:rPr>
        <w:t/>
      </w:r>
    </w:p>
    <w:p>
      <w:pPr>
        <w:pStyle w:val="ab"/>
      </w:pPr>
      <w:r>
        <w:t>发言人1 问：央行和其他机构如何参与地方政府债市场？保险机构对超长期地方政府债的投资行为有何变化？</w:t>
      </w:r>
    </w:p>
    <w:p>
      <w:r>
        <w:rPr>
          <w:rFonts w:ascii="等线(中文正文)" w:hAnsi="等线(中文正文)" w:cs="等线(中文正文)" w:eastAsia="等线(中文正文)"/>
          <w:b w:val="false"/>
          <w:i w:val="false"/>
          <w:sz w:val="20"/>
        </w:rPr>
        <w:t>发言人1 答：央行通过买断式逆回购工具开始大规模持有地方政府债，这是配合地方债供给增多的现象。非银行金融机构如资管产品（基金、理财等）及券商也显著提升了对地方政府债的投资占比。其中，券商在一级市场投标更为市场化，并倾向于一级承销后用于二级市场交易，赚取利差，通常不大量持有至到期，以交易盘为主。保险机构对超长期地方政府债的配置持续增加，尤其是在15年、20年和30年期限的地方债上，其订购行为发生了明显变化。保险机构在年初对30年期地方债配置不足，但自6月以来增量配置明显，成为推高30年期地方债收益率曲线的主要原因。</w:t>
      </w:r>
    </w:p>
    <w:p>
      <w:r>
        <w:rPr>
          <w:rFonts w:ascii="等线(中文正文)" w:hAnsi="等线(中文正文)" w:cs="等线(中文正文)" w:eastAsia="等线(中文正文)"/>
          <w:b w:val="false"/>
          <w:i w:val="false"/>
          <w:sz w:val="20"/>
        </w:rPr>
        <w:t/>
      </w:r>
    </w:p>
    <w:p>
      <w:pPr>
        <w:pStyle w:val="ab"/>
      </w:pPr>
      <w:r>
        <w:t>发言人1 问：如何判断地方债的投资价值以及是否值得超配？</w:t>
      </w:r>
    </w:p>
    <w:p>
      <w:r>
        <w:rPr>
          <w:rFonts w:ascii="等线(中文正文)" w:hAnsi="等线(中文正文)" w:cs="等线(中文正文)" w:eastAsia="等线(中文正文)"/>
          <w:b w:val="false"/>
          <w:i w:val="false"/>
          <w:sz w:val="20"/>
        </w:rPr>
        <w:t>发言人1 答：地方债收益率长期稳定且高于十年期国债，能提供更高的票息，波动性小，质押价值高，资本占用低。因此，参与地方政府债可以在不明显增加风险的前提下提升组合的Carry。对于是否超配地方债，核心在于观察其相对收益，即品种利差的变化，并关注流动性充裕、资产荒以及利率快速调整等五个影响地方债与国债利差的因素。</w:t>
      </w:r>
    </w:p>
    <w:p>
      <w:r>
        <w:rPr>
          <w:rFonts w:ascii="等线(中文正文)" w:hAnsi="等线(中文正文)" w:cs="等线(中文正文)" w:eastAsia="等线(中文正文)"/>
          <w:b w:val="false"/>
          <w:i w:val="false"/>
          <w:sz w:val="20"/>
        </w:rPr>
        <w:t/>
      </w:r>
    </w:p>
    <w:p>
      <w:pPr>
        <w:pStyle w:val="ab"/>
      </w:pPr>
      <w:r>
        <w:t>发言人1 问：在债券投资策略中，为什么建议将部分国债和国开债老券转换为地方债作为底仓？</w:t>
      </w:r>
    </w:p>
    <w:p>
      <w:r>
        <w:rPr>
          <w:rFonts w:ascii="等线(中文正文)" w:hAnsi="等线(中文正文)" w:cs="等线(中文正文)" w:eastAsia="等线(中文正文)"/>
          <w:b w:val="false"/>
          <w:i w:val="false"/>
          <w:sz w:val="20"/>
        </w:rPr>
        <w:t>发言人1 答：由于流动性溢价的影响，新券通常能获取更高的资本利得。而地方债具有免税且票面利率较高、在利率快速调整时抗跌性较好的特点，因此建议投资者将部分国债和国开债老券转换为地方债，以获取更好的配置价值和防御性。</w:t>
      </w:r>
    </w:p>
    <w:p>
      <w:r>
        <w:rPr>
          <w:rFonts w:ascii="等线(中文正文)" w:hAnsi="等线(中文正文)" w:cs="等线(中文正文)" w:eastAsia="等线(中文正文)"/>
          <w:b w:val="false"/>
          <w:i w:val="false"/>
          <w:sz w:val="20"/>
        </w:rPr>
        <w:t/>
      </w:r>
    </w:p>
    <w:p>
      <w:pPr>
        <w:pStyle w:val="ab"/>
      </w:pPr>
      <w:r>
        <w:t>发言人1 问：相对供给如何影响地方债与国债的利差走势？对于地方债和国债的相对供给以及其对市场的影响，有哪些关键点需要注意？</w:t>
      </w:r>
    </w:p>
    <w:p>
      <w:r>
        <w:rPr>
          <w:rFonts w:ascii="等线(中文正文)" w:hAnsi="等线(中文正文)" w:cs="等线(中文正文)" w:eastAsia="等线(中文正文)"/>
          <w:b w:val="false"/>
          <w:i w:val="false"/>
          <w:sz w:val="20"/>
        </w:rPr>
        <w:t>发言人1 答：当地方债供给相对增多时，利差会明显走扩；供给相对减少时，利差则会出现收缩。超预期的供给变动也会推动利差走扩，例如2023年特殊降税债券的发行导致利差走扩。需要关注八月政府债内部品种供给差异是否会导致地方债利率波动和品种利差走扩。同时，九月份政府债发行规模预计会明显大于七八月份，且地方债发行节奏假设在今年前三季度集中发行，后续月份逐步追平。</w:t>
      </w:r>
    </w:p>
    <w:p>
      <w:r>
        <w:rPr>
          <w:rFonts w:ascii="等线(中文正文)" w:hAnsi="等线(中文正文)" w:cs="等线(中文正文)" w:eastAsia="等线(中文正文)"/>
          <w:b w:val="false"/>
          <w:i w:val="false"/>
          <w:sz w:val="20"/>
        </w:rPr>
        <w:t/>
      </w:r>
    </w:p>
    <w:p>
      <w:pPr>
        <w:pStyle w:val="ab"/>
      </w:pPr>
      <w:r>
        <w:t>发言人1 问：关于置换债额度和后续超长债供给的情况如何？</w:t>
      </w:r>
    </w:p>
    <w:p>
      <w:r>
        <w:rPr>
          <w:rFonts w:ascii="等线(中文正文)" w:hAnsi="等线(中文正文)" w:cs="等线(中文正文)" w:eastAsia="等线(中文正文)"/>
          <w:b w:val="false"/>
          <w:i w:val="false"/>
          <w:sz w:val="20"/>
        </w:rPr>
        <w:t>发言人1 答：随着今年2万亿元置换债发行完毕，6万亿元额度已经全部结束，在不增加额度的情况下，后续超长债供给整体下降。配置盘的支撑具有韧性，一级市场和二级市场的联动关系也会影响利差走势。</w:t>
      </w:r>
    </w:p>
    <w:p>
      <w:r>
        <w:rPr>
          <w:rFonts w:ascii="等线(中文正文)" w:hAnsi="等线(中文正文)" w:cs="等线(中文正文)" w:eastAsia="等线(中文正文)"/>
          <w:b w:val="false"/>
          <w:i w:val="false"/>
          <w:sz w:val="20"/>
        </w:rPr>
        <w:t/>
      </w:r>
    </w:p>
    <w:p>
      <w:pPr>
        <w:pStyle w:val="ab"/>
      </w:pPr>
      <w:r>
        <w:t>发言人1 问：对于后续政府债供给情况，你们做了哪些假设和预计？</w:t>
      </w:r>
    </w:p>
    <w:p>
      <w:r>
        <w:rPr>
          <w:rFonts w:ascii="等线(中文正文)" w:hAnsi="等线(中文正文)" w:cs="等线(中文正文)" w:eastAsia="等线(中文正文)"/>
          <w:b w:val="false"/>
          <w:i w:val="false"/>
          <w:sz w:val="20"/>
        </w:rPr>
        <w:t>发言人1 答：我们对三季度政府债供给规模进行了假设，预计八月发行规模在2.46到2.9万亿元之间，净融资量约为1到1.6万亿元。九月份的政府债发行规模预计在2.19到2.63万亿元，净融资规模较大，主要受到期分布的影响。</w:t>
      </w:r>
    </w:p>
    <w:p>
      <w:r>
        <w:rPr>
          <w:rFonts w:ascii="等线(中文正文)" w:hAnsi="等线(中文正文)" w:cs="等线(中文正文)" w:eastAsia="等线(中文正文)"/>
          <w:b w:val="false"/>
          <w:i w:val="false"/>
          <w:sz w:val="20"/>
        </w:rPr>
        <w:t/>
      </w:r>
    </w:p>
    <w:p>
      <w:pPr>
        <w:pStyle w:val="ab"/>
      </w:pPr>
      <w:r>
        <w:t>发言人1 问：中长期流动性工具对当前地方政府债发行的影响是什么？</w:t>
      </w:r>
    </w:p>
    <w:p>
      <w:r>
        <w:rPr>
          <w:rFonts w:ascii="等线(中文正文)" w:hAnsi="等线(中文正文)" w:cs="等线(中文正文)" w:eastAsia="等线(中文正文)"/>
          <w:b w:val="false"/>
          <w:i w:val="false"/>
          <w:sz w:val="20"/>
        </w:rPr>
        <w:t>发言人1 答：当前中长期流动性工具已从七月开始全面转化为净投放，有助于银行消化超长期地方政府债发行。但需观察银行融出修复情况，若出现中长期流动性缺口，不排除降准的可能性。</w:t>
      </w:r>
    </w:p>
    <w:p>
      <w:r>
        <w:rPr>
          <w:rFonts w:ascii="等线(中文正文)" w:hAnsi="等线(中文正文)" w:cs="等线(中文正文)" w:eastAsia="等线(中文正文)"/>
          <w:b w:val="false"/>
          <w:i w:val="false"/>
          <w:sz w:val="20"/>
        </w:rPr>
        <w:t/>
      </w:r>
    </w:p>
    <w:p>
      <w:pPr>
        <w:pStyle w:val="ab"/>
      </w:pPr>
      <w:r>
        <w:t>发言人1 问：一级市场投标加点下调如何影响二级市场表现？</w:t>
      </w:r>
    </w:p>
    <w:p>
      <w:r>
        <w:rPr>
          <w:rFonts w:ascii="等线(中文正文)" w:hAnsi="等线(中文正文)" w:cs="等线(中文正文)" w:eastAsia="等线(中文正文)"/>
          <w:b w:val="false"/>
          <w:i w:val="false"/>
          <w:sz w:val="20"/>
        </w:rPr>
        <w:t>发言人1 答：一级市场投标加点下调会传导至二级市场，导致二级市场品种利差收窄。当一级发行与国债利差偏离下限时，二级市场情绪较好，品种利差收窄；反之，若偏离较大，市场情绪偏弱，一级发挥带动二级利差走扩。</w:t>
      </w:r>
    </w:p>
    <w:p>
      <w:r>
        <w:rPr>
          <w:rFonts w:ascii="等线(中文正文)" w:hAnsi="等线(中文正文)" w:cs="等线(中文正文)" w:eastAsia="等线(中文正文)"/>
          <w:b w:val="false"/>
          <w:i w:val="false"/>
          <w:sz w:val="20"/>
        </w:rPr>
        <w:t/>
      </w:r>
    </w:p>
    <w:p>
      <w:pPr>
        <w:pStyle w:val="ab"/>
      </w:pPr>
      <w:r>
        <w:t>发言人1 问：当前环境下，二级市场利差低于一级市场发行利差时是否存在明显的套利机会？</w:t>
      </w:r>
    </w:p>
    <w:p>
      <w:r>
        <w:rPr>
          <w:rFonts w:ascii="等线(中文正文)" w:hAnsi="等线(中文正文)" w:cs="等线(中文正文)" w:eastAsia="等线(中文正文)"/>
          <w:b w:val="false"/>
          <w:i w:val="false"/>
          <w:sz w:val="20"/>
        </w:rPr>
        <w:t>发言人1 答：当二级市场利差低于一级市场发行利差时，通常意味着一级市场有利可图。只要一级市场依然存在加点水平，该加点水平即为二级市场的利差保护垫。当前多数地区仍保持一定利差，当二级利差跌破5BP时，会出现明显的一二级套利机会。</w:t>
      </w:r>
    </w:p>
    <w:p>
      <w:r>
        <w:rPr>
          <w:rFonts w:ascii="等线(中文正文)" w:hAnsi="等线(中文正文)" w:cs="等线(中文正文)" w:eastAsia="等线(中文正文)"/>
          <w:b w:val="false"/>
          <w:i w:val="false"/>
          <w:sz w:val="20"/>
        </w:rPr>
        <w:t/>
      </w:r>
    </w:p>
    <w:p>
      <w:pPr>
        <w:pStyle w:val="ab"/>
      </w:pPr>
      <w:r>
        <w:t>发言人1 问：开门红期间保险配置对地方债与国债利差有何影响？</w:t>
      </w:r>
    </w:p>
    <w:p>
      <w:r>
        <w:rPr>
          <w:rFonts w:ascii="等线(中文正文)" w:hAnsi="等线(中文正文)" w:cs="等线(中文正文)" w:eastAsia="等线(中文正文)"/>
          <w:b w:val="false"/>
          <w:i w:val="false"/>
          <w:sz w:val="20"/>
        </w:rPr>
        <w:t>发言人1 答：开门红期间保险大量配债的需求会推动超长期地方债与国债利差收窄。从历年数据来看，每年十月到次年二月是保险开门红阶段，业务占比高，此时会积极配置超长期债券，从而拉低利差。</w:t>
      </w:r>
    </w:p>
    <w:p>
      <w:r>
        <w:rPr>
          <w:rFonts w:ascii="等线(中文正文)" w:hAnsi="等线(中文正文)" w:cs="等线(中文正文)" w:eastAsia="等线(中文正文)"/>
          <w:b w:val="false"/>
          <w:i w:val="false"/>
          <w:sz w:val="20"/>
        </w:rPr>
        <w:t/>
      </w:r>
    </w:p>
    <w:p>
      <w:pPr>
        <w:pStyle w:val="ab"/>
      </w:pPr>
      <w:r>
        <w:t>发言人1 问：对于30年国债老券的走势，你们怎么看？</w:t>
      </w:r>
    </w:p>
    <w:p>
      <w:r>
        <w:rPr>
          <w:rFonts w:ascii="等线(中文正文)" w:hAnsi="等线(中文正文)" w:cs="等线(中文正文)" w:eastAsia="等线(中文正文)"/>
          <w:b w:val="false"/>
          <w:i w:val="false"/>
          <w:sz w:val="20"/>
        </w:rPr>
        <w:t>发言人1 答：理论上如果后续情绪保持良好，预计30年国债老券会有更多的下行幅度。在调整方面，不同类型的国债调整差异不会太大，目前30年国家权更具性价比。</w:t>
      </w:r>
    </w:p>
    <w:p>
      <w:r>
        <w:rPr>
          <w:rFonts w:ascii="等线(中文正文)" w:hAnsi="等线(中文正文)" w:cs="等线(中文正文)" w:eastAsia="等线(中文正文)"/>
          <w:b w:val="false"/>
          <w:i w:val="false"/>
          <w:sz w:val="20"/>
        </w:rPr>
        <w:t/>
      </w:r>
    </w:p>
    <w:p>
      <w:pPr>
        <w:pStyle w:val="ab"/>
      </w:pPr>
      <w:r>
        <w:t>发言人1 问：地方债在期限、区域以及新老券标的上筛选思路是怎样的？</w:t>
      </w:r>
    </w:p>
    <w:p>
      <w:r>
        <w:rPr>
          <w:rFonts w:ascii="等线(中文正文)" w:hAnsi="等线(中文正文)" w:cs="等线(中文正文)" w:eastAsia="等线(中文正文)"/>
          <w:b w:val="false"/>
          <w:i w:val="false"/>
          <w:sz w:val="20"/>
        </w:rPr>
        <w:t>发言人1 答：从期限角度看，地方债流动性分层明显。2024年5-10年期限流动性较好，但自2025年开始转向15-20年及25-30年期限。具体到关键期限，七年以上流动性优于七年以内，尤其是超长端换手率较高。今年特征是15年和20年流动性显著好转，20年成为换手率最好的期限。</w:t>
      </w:r>
    </w:p>
    <w:p>
      <w:r>
        <w:rPr>
          <w:rFonts w:ascii="等线(中文正文)" w:hAnsi="等线(中文正文)" w:cs="等线(中文正文)" w:eastAsia="等线(中文正文)"/>
          <w:b w:val="false"/>
          <w:i w:val="false"/>
          <w:sz w:val="20"/>
        </w:rPr>
        <w:t/>
      </w:r>
    </w:p>
    <w:p>
      <w:pPr>
        <w:pStyle w:val="ab"/>
      </w:pPr>
      <w:r>
        <w:t>发言人1 问：基金持仓季报显示了哪些关于地方债的新现象？</w:t>
      </w:r>
    </w:p>
    <w:p>
      <w:r>
        <w:rPr>
          <w:rFonts w:ascii="等线(中文正文)" w:hAnsi="等线(中文正文)" w:cs="等线(中文正文)" w:eastAsia="等线(中文正文)"/>
          <w:b w:val="false"/>
          <w:i w:val="false"/>
          <w:sz w:val="20"/>
        </w:rPr>
        <w:t>发言人1 答：最新基金持仓季报显示，地方债真股价规模达到历年最大值，并出现了长久期债券，这与以往主要持有中短周期债券不同。</w:t>
      </w:r>
    </w:p>
    <w:p>
      <w:r>
        <w:rPr>
          <w:rFonts w:ascii="等线(中文正文)" w:hAnsi="等线(中文正文)" w:cs="等线(中文正文)" w:eastAsia="等线(中文正文)"/>
          <w:b w:val="false"/>
          <w:i w:val="false"/>
          <w:sz w:val="20"/>
        </w:rPr>
        <w:t/>
      </w:r>
    </w:p>
    <w:p>
      <w:pPr>
        <w:pStyle w:val="ab"/>
      </w:pPr>
      <w:r>
        <w:t>发言人1 问：如何选择流动性更好的地方债？</w:t>
      </w:r>
    </w:p>
    <w:p>
      <w:r>
        <w:rPr>
          <w:rFonts w:ascii="等线(中文正文)" w:hAnsi="等线(中文正文)" w:cs="等线(中文正文)" w:eastAsia="等线(中文正文)"/>
          <w:b w:val="false"/>
          <w:i w:val="false"/>
          <w:sz w:val="20"/>
        </w:rPr>
        <w:t>发言人1 答：通过一个量化模型，发行量（规模）是影响地方债流动性最大的因素，突破某一临界点时，个券达到高流动性的概率会迅速提升。区域特征对流动性排序有一定辅助作用，但不会改变排序。</w:t>
      </w:r>
    </w:p>
    <w:p>
      <w:r>
        <w:rPr>
          <w:rFonts w:ascii="等线(中文正文)" w:hAnsi="等线(中文正文)" w:cs="等线(中文正文)" w:eastAsia="等线(中文正文)"/>
          <w:b w:val="false"/>
          <w:i w:val="false"/>
          <w:sz w:val="20"/>
        </w:rPr>
        <w:t/>
      </w:r>
    </w:p>
    <w:p>
      <w:pPr>
        <w:pStyle w:val="ab"/>
      </w:pPr>
      <w:r>
        <w:t>发言人1 问：流动性较高的地方债持续时间和区域分布情况如何？</w:t>
      </w:r>
    </w:p>
    <w:p>
      <w:r>
        <w:rPr>
          <w:rFonts w:ascii="等线(中文正文)" w:hAnsi="等线(中文正文)" w:cs="等线(中文正文)" w:eastAsia="等线(中文正文)"/>
          <w:b w:val="false"/>
          <w:i w:val="false"/>
          <w:sz w:val="20"/>
        </w:rPr>
        <w:t>发言人1 答：高流动性个券的持续时间大约在一个月左右，而较流动性个券的活跃窗口普遍超过40个交易日，最长可达120个交易日，其中20年和30年期限的流动性持续性更强。</w:t>
      </w:r>
    </w:p>
    <w:p>
      <w:r>
        <w:rPr>
          <w:rFonts w:ascii="等线(中文正文)" w:hAnsi="等线(中文正文)" w:cs="等线(中文正文)" w:eastAsia="等线(中文正文)"/>
          <w:b w:val="false"/>
          <w:i w:val="false"/>
          <w:sz w:val="20"/>
        </w:rPr>
        <w:t/>
      </w:r>
    </w:p>
    <w:p>
      <w:pPr>
        <w:pStyle w:val="ab"/>
      </w:pPr>
      <w:r>
        <w:t>发言人1 问：是否可以通过参与凸点或期限利差来选择有价值的期限位置？</w:t>
      </w:r>
    </w:p>
    <w:p>
      <w:r>
        <w:rPr>
          <w:rFonts w:ascii="等线(中文正文)" w:hAnsi="等线(中文正文)" w:cs="等线(中文正文)" w:eastAsia="等线(中文正文)"/>
          <w:b w:val="false"/>
          <w:i w:val="false"/>
          <w:sz w:val="20"/>
        </w:rPr>
        <w:t>发言人1 答：可以通过参与凸点和观察期限利差变化来选择有价值的期限位置，并对比不同期限品种以判断后续可能的抹平或跟随走势。</w:t>
      </w:r>
    </w:p>
    <w:p>
      <w:r>
        <w:rPr>
          <w:rFonts w:ascii="等线(中文正文)" w:hAnsi="等线(中文正文)" w:cs="等线(中文正文)" w:eastAsia="等线(中文正文)"/>
          <w:b w:val="false"/>
          <w:i w:val="false"/>
          <w:sz w:val="20"/>
        </w:rPr>
        <w:t/>
      </w:r>
    </w:p>
    <w:p>
      <w:pPr>
        <w:pStyle w:val="ab"/>
      </w:pPr>
      <w:r>
        <w:t>发言人1 问：区域选择上有什么考虑？</w:t>
      </w:r>
    </w:p>
    <w:p>
      <w:r>
        <w:rPr>
          <w:rFonts w:ascii="等线(中文正文)" w:hAnsi="等线(中文正文)" w:cs="等线(中文正文)" w:eastAsia="等线(中文正文)"/>
          <w:b w:val="false"/>
          <w:i w:val="false"/>
          <w:sz w:val="20"/>
        </w:rPr>
        <w:t>发言人1 答：存续地方债估值与财政部曲线存在地区间差异，高收益区域如黑、云、贵、内蒙、天津与低收益区域如北上广深、江浙沪之间价差明显。区域利差存在一定的均值回归规律，且不同期限利差变化不具有联动性。</w:t>
      </w:r>
    </w:p>
    <w:p>
      <w:r>
        <w:rPr>
          <w:rFonts w:ascii="等线(中文正文)" w:hAnsi="等线(中文正文)" w:cs="等线(中文正文)" w:eastAsia="等线(中文正文)"/>
          <w:b w:val="false"/>
          <w:i w:val="false"/>
          <w:sz w:val="20"/>
        </w:rPr>
        <w:t/>
      </w:r>
    </w:p>
    <w:p>
      <w:pPr>
        <w:pStyle w:val="ab"/>
      </w:pPr>
      <w:r>
        <w:t>发言人1 问：新老券的选择应如何考虑？</w:t>
      </w:r>
    </w:p>
    <w:p>
      <w:r>
        <w:rPr>
          <w:rFonts w:ascii="等线(中文正文)" w:hAnsi="等线(中文正文)" w:cs="等线(中文正文)" w:eastAsia="等线(中文正文)"/>
          <w:b w:val="false"/>
          <w:i w:val="false"/>
          <w:sz w:val="20"/>
        </w:rPr>
        <w:t>发言人1 答：在流动性溢价视角下，地方债流动性特征与国债和国开债类似，存在一定的流动性溢价，建议关注新券。从隐含增值税税率视角看，随着利息恢复征收增值税，隐含税率变化对定价的影响增大，可通过对比新老券隐含税率来选择性价比更高的券种。</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2026-07-29T14:42:08Z</dcterms:created>
  <dc:creator>Apache POI</dc:creator>
</cp:coreProperties>
</file>