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“杠铃经济”得与失 260727_导读</w:t>
      </w:r>
    </w:p>
    <w:p>
      <w:pPr>
        <w:pStyle w:val="a0"/>
        <w:jc w:val="center"/>
      </w:pPr>
      <w:r>
        <w:t>2026年07月29日 00:26</w:t>
      </w:r>
    </w:p>
    <w:p>
      <w:pPr>
        <w:pStyle w:val="a7"/>
      </w:pPr>
      <w:r>
        <w:t>关键词</w:t>
      </w:r>
    </w:p>
    <w:p>
      <w:r>
        <w:rPr>
          <w:rFonts w:ascii="等线(中文正文)" w:hAnsi="等线(中文正文)" w:cs="等线(中文正文)" w:eastAsia="等线(中文正文)"/>
          <w:b w:val="false"/>
          <w:i w:val="false"/>
          <w:sz w:val="20"/>
        </w:rPr>
        <w:t xml:space="preserve">杠铃经济 K型分化 科技产业 服务业 金融资本 人口老龄化 心理账户 地产链 地缘格局 通胀 PPI 利率 投资策略 均衡化 劳动力市场 产业升级 资产配置 高技术制造业 就业市场 房地产市场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分享聚焦杠铃经济专题报告，由发言人与何博士共同介绍。报告深入探讨杠铃经济的概念，即资源与投资在高技术制造业与服务业快速发展，而传统与中低端产业相对衰落的现象。分析了全球与中国在这一经济形态下的表现，强调了K型分化在高端与低端产业、技术、收入等方面的影响。报告还考察了技术革新、金融资源配置、人口结构变化及地缘政治等因素对杠铃经济的影响。最后，从短期与长期角度展望了杠铃经济对政策制定、产业布局及投资策略的启示，突出了科技产业、高端制造业、服务业以及安全稳定资产配置的重要性。</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杠铃经济：资源向两端聚集的经济形态分析</w:t>
      </w:r>
    </w:p>
    <w:p>
      <w:r>
        <w:rPr>
          <w:rFonts w:ascii="等线(中文正文)" w:hAnsi="等线(中文正文)" w:cs="等线(中文正文)" w:eastAsia="等线(中文正文)"/>
          <w:b w:val="false"/>
          <w:i w:val="false"/>
          <w:sz w:val="20"/>
        </w:rPr>
        <w:t>分享了关于杠铃经济的研究，指出在K型分化背景下，资源如人力、技术和金融资本正向经济的两端聚集，形成独特的经济形态。不同于简单的两端分化，研究强调了中间地带的行业和企业仍占据重要地位，同时观察到资源向经济尾部聚集的趋势，揭示了经济运行的复杂性与杠杆化特征。</w:t>
      </w:r>
    </w:p>
    <w:p>
      <w:r>
        <w:rPr>
          <w:rFonts w:ascii="等线(中文正文)" w:hAnsi="等线(中文正文)" w:cs="等线(中文正文)" w:eastAsia="等线(中文正文)"/>
          <w:b w:val="false"/>
          <w:i w:val="false"/>
          <w:sz w:val="20"/>
        </w:rPr>
        <w:t/>
      </w:r>
    </w:p>
    <w:p>
      <w:pPr>
        <w:pStyle w:val="ab"/>
        <w:numPr>
          <w:numId w:val="2"/>
        </w:numPr>
      </w:pPr>
      <w:r>
        <w:t>02:26 全球经济结构变化与产业趋势分析</w:t>
      </w:r>
    </w:p>
    <w:p>
      <w:r>
        <w:rPr>
          <w:rFonts w:ascii="等线(中文正文)" w:hAnsi="等线(中文正文)" w:cs="等线(中文正文)" w:eastAsia="等线(中文正文)"/>
          <w:b w:val="false"/>
          <w:i w:val="false"/>
          <w:sz w:val="20"/>
        </w:rPr>
        <w:t>对话分析了全球经济圈层的变化，指出中美经济圈层在全球经济中的占比上升，而中间层发达经济体占比下降。产业结构上，科技和服务行业持续扩张，尤其是人工智能、集成电路和生物等前沿产业。就业市场呈现出高技术和低技能岗位的双轨扩张。房地产市场中，豪宅和低总价刚需房表现较好。消费端，高端和高性价比产品表现突出。资产配置方面，哑铃型策略和去美元化倾向明显，整体布局呈现杠杆化特征。</w:t>
      </w:r>
    </w:p>
    <w:p>
      <w:r>
        <w:rPr>
          <w:rFonts w:ascii="等线(中文正文)" w:hAnsi="等线(中文正文)" w:cs="等线(中文正文)" w:eastAsia="等线(中文正文)"/>
          <w:b w:val="false"/>
          <w:i w:val="false"/>
          <w:sz w:val="20"/>
        </w:rPr>
        <w:t/>
      </w:r>
    </w:p>
    <w:p>
      <w:pPr>
        <w:pStyle w:val="ab"/>
        <w:numPr>
          <w:numId w:val="3"/>
        </w:numPr>
      </w:pPr>
      <w:r>
        <w:t>04:31 杠铃经济形态下的宏观与微观因素分析</w:t>
      </w:r>
    </w:p>
    <w:p>
      <w:r>
        <w:rPr>
          <w:rFonts w:ascii="等线(中文正文)" w:hAnsi="等线(中文正文)" w:cs="等线(中文正文)" w:eastAsia="等线(中文正文)"/>
          <w:b w:val="false"/>
          <w:i w:val="false"/>
          <w:sz w:val="20"/>
        </w:rPr>
        <w:t>对话探讨了杠铃经济形态的形成原因，包括第六轮康波周期初期的技术革命、金融资源向两端集聚、人口结构变化以及心理账户对经济行为的影响。宏观层面，技术革命和金融资源分配加剧了经济的两极分化；人口老龄化与Z时代消费影响经济形态。微观层面，心理账户导致发展与安全导向的资源分配差异，影响投资、消费及政策制定。</w:t>
      </w:r>
    </w:p>
    <w:p>
      <w:r>
        <w:rPr>
          <w:rFonts w:ascii="等线(中文正文)" w:hAnsi="等线(中文正文)" w:cs="等线(中文正文)" w:eastAsia="等线(中文正文)"/>
          <w:b w:val="false"/>
          <w:i w:val="false"/>
          <w:sz w:val="20"/>
        </w:rPr>
        <w:t/>
      </w:r>
    </w:p>
    <w:p>
      <w:pPr>
        <w:pStyle w:val="ab"/>
        <w:numPr>
          <w:numId w:val="4"/>
        </w:numPr>
      </w:pPr>
      <w:r>
        <w:t>07:41 杠铃经济影响与未来趋势分析</w:t>
      </w:r>
    </w:p>
    <w:p>
      <w:r>
        <w:rPr>
          <w:rFonts w:ascii="等线(中文正文)" w:hAnsi="等线(中文正文)" w:cs="等线(中文正文)" w:eastAsia="等线(中文正文)"/>
          <w:b w:val="false"/>
          <w:i w:val="false"/>
          <w:sz w:val="20"/>
        </w:rPr>
        <w:t>报告深入探讨了杠铃经济的成因及其对投资、产业布局和政策制定的影响，预测新技术应用、房地产链条企稳和地缘格局稳定将促进经济形态缓和，但此过程需3至5年。科技产业在杠铃经济下加速发展，但消费和传统领域可能面临系统性反转困难。通胀方面，PPI短期内将拉动名义增长，但全面价格传导难以实现。利率初期下沉，中期可能回升，长期趋势性下拉。建议投资策略均衡化，兼顾高风险高成长与安全红利。</w:t>
      </w:r>
    </w:p>
    <w:p>
      <w:r>
        <w:rPr>
          <w:rFonts w:ascii="等线(中文正文)" w:hAnsi="等线(中文正文)" w:cs="等线(中文正文)" w:eastAsia="等线(中文正文)"/>
          <w:b w:val="false"/>
          <w:i w:val="false"/>
          <w:sz w:val="20"/>
        </w:rPr>
        <w:t/>
      </w:r>
    </w:p>
    <w:p>
      <w:pPr>
        <w:pStyle w:val="ab"/>
        <w:numPr>
          <w:numId w:val="5"/>
        </w:numPr>
      </w:pPr>
      <w:r>
        <w:t>12:23 全球经济增长动能集中与产业杠铃化趋势</w:t>
      </w:r>
    </w:p>
    <w:p>
      <w:r>
        <w:rPr>
          <w:rFonts w:ascii="等线(中文正文)" w:hAnsi="等线(中文正文)" w:cs="等线(中文正文)" w:eastAsia="等线(中文正文)"/>
          <w:b w:val="false"/>
          <w:i w:val="false"/>
          <w:sz w:val="20"/>
        </w:rPr>
        <w:t>对话分析了全球经济增长动能向中美经济圈集中的现象，指出美国核心经济圈与中国经济圈的GDP比重上升，而传统发达国家比重下降。同时，探讨了中国产业杠铃化特征，高技术制造业与服务业扩张，传统制造业利润下滑，就业市场呈现高端与低端岗位增长，中端岗位萎缩的趋势。</w:t>
      </w:r>
    </w:p>
    <w:p>
      <w:r>
        <w:rPr>
          <w:rFonts w:ascii="等线(中文正文)" w:hAnsi="等线(中文正文)" w:cs="等线(中文正文)" w:eastAsia="等线(中文正文)"/>
          <w:b w:val="false"/>
          <w:i w:val="false"/>
          <w:sz w:val="20"/>
        </w:rPr>
        <w:t/>
      </w:r>
    </w:p>
    <w:p>
      <w:pPr>
        <w:pStyle w:val="ab"/>
        <w:numPr>
          <w:numId w:val="6"/>
        </w:numPr>
      </w:pPr>
      <w:r>
        <w:t>16:11 房地产市场两端放量：刚需与豪宅交易活跃</w:t>
      </w:r>
    </w:p>
    <w:p>
      <w:r>
        <w:rPr>
          <w:rFonts w:ascii="等线(中文正文)" w:hAnsi="等线(中文正文)" w:cs="等线(中文正文)" w:eastAsia="等线(中文正文)"/>
          <w:b w:val="false"/>
          <w:i w:val="false"/>
          <w:sz w:val="20"/>
        </w:rPr>
        <w:t>对话讨论了英国和上海房地产市场的两端放量特征，即低总价刚需住房与高端豪宅交易活跃。英国市场中，刚需住房占总销量的39%，而首套与换购住房价差达52%，显示高端改善购房意愿强。上海市场，200万以下二手房成交量占比从2021年的30%升至2025年的40%，1000万以上豪宅占比也上升，而200万至1000万中间价位二手房成交量占比则从65%降至53%。</w:t>
      </w:r>
    </w:p>
    <w:p>
      <w:r>
        <w:rPr>
          <w:rFonts w:ascii="等线(中文正文)" w:hAnsi="等线(中文正文)" w:cs="等线(中文正文)" w:eastAsia="等线(中文正文)"/>
          <w:b w:val="false"/>
          <w:i w:val="false"/>
          <w:sz w:val="20"/>
        </w:rPr>
        <w:t/>
      </w:r>
    </w:p>
    <w:p>
      <w:pPr>
        <w:pStyle w:val="ab"/>
        <w:numPr>
          <w:numId w:val="7"/>
        </w:numPr>
      </w:pPr>
      <w:r>
        <w:t>17:18 2025年商超市场分析：高端增长，低端扩张，中端遇冷</w:t>
      </w:r>
    </w:p>
    <w:p>
      <w:r>
        <w:rPr>
          <w:rFonts w:ascii="等线(中文正文)" w:hAnsi="等线(中文正文)" w:cs="等线(中文正文)" w:eastAsia="等线(中文正文)"/>
          <w:b w:val="false"/>
          <w:i w:val="false"/>
          <w:sz w:val="20"/>
        </w:rPr>
        <w:t>2025年，高端商超沙漠销售额增长率40%，卓越卡续费率92%高于全球平均；低端商超拼多多销售额超4000亿元，增长率10%，奥乐齐门店数突破100家，销售额增长率100%；中端回超市关闭门店超600家，营收同比下降21%。</w:t>
      </w:r>
    </w:p>
    <w:p>
      <w:r>
        <w:rPr>
          <w:rFonts w:ascii="等线(中文正文)" w:hAnsi="等线(中文正文)" w:cs="等线(中文正文)" w:eastAsia="等线(中文正文)"/>
          <w:b w:val="false"/>
          <w:i w:val="false"/>
          <w:sz w:val="20"/>
        </w:rPr>
        <w:t/>
      </w:r>
    </w:p>
    <w:p>
      <w:pPr>
        <w:pStyle w:val="ab"/>
        <w:numPr>
          <w:numId w:val="8"/>
        </w:numPr>
      </w:pPr>
      <w:r>
        <w:t>18:27 杠铃经济与康波周期：资金流向与产业分化</w:t>
      </w:r>
    </w:p>
    <w:p>
      <w:r>
        <w:rPr>
          <w:rFonts w:ascii="等线(中文正文)" w:hAnsi="等线(中文正文)" w:cs="等线(中文正文)" w:eastAsia="等线(中文正文)"/>
          <w:b w:val="false"/>
          <w:i w:val="false"/>
          <w:sz w:val="20"/>
        </w:rPr>
        <w:t>全球资金在高风险科技股与低风险固收、黄金间形成杠铃分布，科技股增配显著，黄金储备超越美国国债。低增长环境下，新技术引领的产业与刚需产业获益，中间层产业受挤压。以日本为例，泡沫破裂后，高技术与信息服务业扩张，传统制造业与收入相关服务业萎缩。</w:t>
      </w:r>
    </w:p>
    <w:p>
      <w:r>
        <w:rPr>
          <w:rFonts w:ascii="等线(中文正文)" w:hAnsi="等线(中文正文)" w:cs="等线(中文正文)" w:eastAsia="等线(中文正文)"/>
          <w:b w:val="false"/>
          <w:i w:val="false"/>
          <w:sz w:val="20"/>
        </w:rPr>
        <w:t/>
      </w:r>
    </w:p>
    <w:p>
      <w:pPr>
        <w:pStyle w:val="ab"/>
        <w:numPr>
          <w:numId w:val="9"/>
        </w:numPr>
      </w:pPr>
      <w:r>
        <w:t>21:44 全球化下产业与人口结构变化对经济的影响</w:t>
      </w:r>
    </w:p>
    <w:p>
      <w:r>
        <w:rPr>
          <w:rFonts w:ascii="等线(中文正文)" w:hAnsi="等线(中文正文)" w:cs="等线(中文正文)" w:eastAsia="等线(中文正文)"/>
          <w:b w:val="false"/>
          <w:i w:val="false"/>
          <w:sz w:val="20"/>
        </w:rPr>
        <w:t>对话探讨了全球化背景下，不同经济体因产业升级、人口老龄化及Z世代消费习惯变化，导致经济结构呈现杠铃化趋势。高端产业与基础产业在需求端和供给端均得到发展，金融市场的放大作用加剧了这一现象。发达国家推动高端产业回流，而低成本国家则竞争劳动密集型订单，中间经济体面临挑战。人口结构变化固化了经济形态，Z世代消费倾向影响市场趋势。</w:t>
      </w:r>
    </w:p>
    <w:p>
      <w:r>
        <w:rPr>
          <w:rFonts w:ascii="等线(中文正文)" w:hAnsi="等线(中文正文)" w:cs="等线(中文正文)" w:eastAsia="等线(中文正文)"/>
          <w:b w:val="false"/>
          <w:i w:val="false"/>
          <w:sz w:val="20"/>
        </w:rPr>
        <w:t/>
      </w:r>
    </w:p>
    <w:p>
      <w:pPr>
        <w:pStyle w:val="ab"/>
        <w:numPr>
          <w:numId w:val="10"/>
        </w:numPr>
      </w:pPr>
      <w:r>
        <w:t>25:13 杠铃经济下科技与安全资产的双轨配置策略</w:t>
      </w:r>
    </w:p>
    <w:p>
      <w:r>
        <w:rPr>
          <w:rFonts w:ascii="等线(中文正文)" w:hAnsi="等线(中文正文)" w:cs="等线(中文正文)" w:eastAsia="等线(中文正文)"/>
          <w:b w:val="false"/>
          <w:i w:val="false"/>
          <w:sz w:val="20"/>
        </w:rPr>
        <w:t>对话探讨了在低增长高压力环境下，情绪价值与心理账户对经济行为的影响，以及杠铃经济对技术、通胀、利率和资产配置的深远影响。指出科技产业因高技术资源倾斜形成强者恒强格局，而传统产业呈现两极分化，服务业扩张压低利率。未来资产配置将延续向高风险高成长与低波动高安全两端倾斜的特征，建议关注AI基础设施产业链与央国企红利等防御方向。</w:t>
      </w:r>
    </w:p>
    <w:p>
      <w:r>
        <w:rPr>
          <w:rFonts w:ascii="等线(中文正文)" w:hAnsi="等线(中文正文)" w:cs="等线(中文正文)" w:eastAsia="等线(中文正文)"/>
          <w:b w:val="false"/>
          <w:i w:val="false"/>
          <w:sz w:val="20"/>
        </w:rPr>
        <w:t/>
      </w:r>
    </w:p>
    <w:p>
      <w:pPr>
        <w:pStyle w:val="ab"/>
        <w:numPr>
          <w:numId w:val="11"/>
        </w:numPr>
      </w:pPr>
      <w:r>
        <w:t>31:14 杠铃经济恢复路径与全球大市场建设</w:t>
      </w:r>
    </w:p>
    <w:p>
      <w:r>
        <w:rPr>
          <w:rFonts w:ascii="等线(中文正文)" w:hAnsi="等线(中文正文)" w:cs="等线(中文正文)" w:eastAsia="等线(中文正文)"/>
          <w:b w:val="false"/>
          <w:i w:val="false"/>
          <w:sz w:val="20"/>
        </w:rPr>
        <w:t>对话讨论了杠铃经济短期难以系统性反转的原因，包括AI技术推动经济增长、房地产产业链企稳及地缘政治格局稳定的重要性。提出修复杠铃经济需推进全球大市场建设和投资于人，通过统一大市场改善中间行业盈利环境，以及提升底部和中部收入，形成民生改善、消费提升的良性循环。强调教育科技人才发展和职业培训对转化人口红利为人才红利的关键作用。</w:t>
      </w:r>
    </w:p>
    <w:p>
      <w:r>
        <w:rPr>
          <w:rFonts w:ascii="等线(中文正文)" w:hAnsi="等线(中文正文)" w:cs="等线(中文正文)" w:eastAsia="等线(中文正文)"/>
          <w:b w:val="false"/>
          <w:i w:val="false"/>
          <w:sz w:val="20"/>
        </w:rPr>
        <w:t/>
      </w:r>
    </w:p>
    <w:p>
      <w:pPr>
        <w:pStyle w:val="a7"/>
      </w:pPr>
      <w:r>
        <w:t>发言总结</w:t>
      </w:r>
    </w:p>
    <w:p>
      <w:pPr>
        <w:pStyle w:val="ab"/>
        <w:numPr>
          <w:numId w:val="12"/>
        </w:numPr>
      </w:pPr>
      <w:r>
        <w:t>发言人1</w:t>
      </w:r>
    </w:p>
    <w:p>
      <w:r>
        <w:rPr>
          <w:rFonts w:ascii="等线(中文正文)" w:hAnsi="等线(中文正文)" w:cs="等线(中文正文)" w:eastAsia="等线(中文正文)"/>
          <w:b w:val="false"/>
          <w:i w:val="false"/>
          <w:sz w:val="20"/>
        </w:rPr>
        <w:t>他首先对线上投资者表示感谢，并介绍了电话会议的主要内容，围绕国泰通政策和产业研究院发布的杠铃经济专题报告。报告关注于K型分化现象，该现象描述了疫情后美国复苏中就业市场和经济的特征，表现为资源向科技头部企业集中及新兴领域与传统领域的差距。讨论深入到杠铃经济的定义、成因及其对经济形态的影响，包括技术产业的发展、通胀、利率和资产配置等方面。他强调了全球化背景下，中国和美国作为重要经济圈的紧密贸易关系及其在全球经济中的比重上升，同时指出传统发达国家比重下降。产业结构的变化，如科技和服务业的扩张，以及房地产市场的两端分化，也是杠铃经济的表现。对于未来，他认为短期内杠铃经济形态难以系统性反转，需要新技术应用、房地产产业链稳定及地缘政治稳定等多重因素共同作用。此外，提出了推进统一大市场建设和投资于人的解决方案，以缓解中部塌陷问题，促进经济均衡发展。整体而言，他的发言深入探讨了杠铃经济的概念、成因及其对全球经济的影响，并对未来发展趋势提出了见解和建议。</w:t>
      </w:r>
    </w:p>
    <w:p>
      <w:r>
        <w:rPr>
          <w:rFonts w:ascii="等线(中文正文)" w:hAnsi="等线(中文正文)" w:cs="等线(中文正文)" w:eastAsia="等线(中文正文)"/>
          <w:b w:val="false"/>
          <w:i w:val="false"/>
          <w:sz w:val="20"/>
        </w:rPr>
        <w:t/>
      </w:r>
    </w:p>
    <w:p>
      <w:pPr>
        <w:pStyle w:val="a7"/>
      </w:pPr>
      <w:r>
        <w:t>要点回顾</w:t>
      </w:r>
    </w:p>
    <w:p>
      <w:pPr>
        <w:pStyle w:val="ab"/>
      </w:pPr>
      <w:r>
        <w:t>在K型分化的背景下，您们如何理解经济中的“中间地带”和“两端聚集”现象？全球经济层面有哪些关于杠铃经济特征的结论？</w:t>
      </w:r>
    </w:p>
    <w:p>
      <w:r>
        <w:rPr>
          <w:rFonts w:ascii="等线(中文正文)" w:hAnsi="等线(中文正文)" w:cs="等线(中文正文)" w:eastAsia="等线(中文正文)"/>
          <w:b w:val="false"/>
          <w:i w:val="false"/>
          <w:sz w:val="20"/>
        </w:rPr>
        <w:t>发言人1：在K型经济中，我们发现很多相对弱势的行业和企业主体处于经济的中间地带，它们在过去历史运行过程中占据一定主体地位。然而，资源要素如劳动力、技术、产业以及金融资本正逐渐向两端聚集，形成“杠铃经济”形态。这种现象表现为两端强化，中间地带相对收缩和回落，导致整个经济形态呈现出杠杆化的特征。全球经济中，以中国和美国为代表的经济圈层在贸易和战略合作方面关系紧密，并在全球经济占比中明显上升。与此相对，与中美保持一定经贸关系的发达经济体占比有所下降，而强绑定的经济圈两端则出现上升趋势。</w:t>
      </w:r>
    </w:p>
    <w:p>
      <w:r>
        <w:rPr>
          <w:rFonts w:ascii="等线(中文正文)" w:hAnsi="等线(中文正文)" w:cs="等线(中文正文)" w:eastAsia="等线(中文正文)"/>
          <w:b w:val="false"/>
          <w:i w:val="false"/>
          <w:sz w:val="20"/>
        </w:rPr>
        <w:t/>
      </w:r>
    </w:p>
    <w:p>
      <w:pPr>
        <w:pStyle w:val="ab"/>
      </w:pPr>
      <w:r>
        <w:t>国内产业结构上如何体现杠铃经济特征？为什么会出现杠铃经济的现象？</w:t>
      </w:r>
    </w:p>
    <w:p>
      <w:r>
        <w:rPr>
          <w:rFonts w:ascii="等线(中文正文)" w:hAnsi="等线(中文正文)" w:cs="等线(中文正文)" w:eastAsia="等线(中文正文)"/>
          <w:b w:val="false"/>
          <w:i w:val="false"/>
          <w:sz w:val="20"/>
        </w:rPr>
        <w:t>发言人1：在国内，科技和服务两个行业正在不断扩张。科技行业中，人工智能、集成电路、生物等前沿产业以及未来产业资源正在集聚；而服务业一方面因科技发展带动了科技咨询、科技服务等相关配套服务业的增长，同时传统线下服务也有所扩张。主要原因是第六轮康波周期初期产业端催化作用的结果。上一轮互联网技术革命爆发阶段，海外就业和薪资就出现了杠杆化特征。在国内，目前正处于个性化过程的初期阶段，产业技术革命初期往往会带来类似杠杆化分布的现象。此外，金融要素配置也放大了这种杠铃特征，尤其是资本和信贷资源向战略性新兴产业集中，以及对普惠领域的支持。最后，人口结构变化，特别是人口老龄化加速与Z世代消费影响力的增强，共同加固了当前的经济运行特征。</w:t>
      </w:r>
    </w:p>
    <w:p>
      <w:r>
        <w:rPr>
          <w:rFonts w:ascii="等线(中文正文)" w:hAnsi="等线(中文正文)" w:cs="等线(中文正文)" w:eastAsia="等线(中文正文)"/>
          <w:b w:val="false"/>
          <w:i w:val="false"/>
          <w:sz w:val="20"/>
        </w:rPr>
        <w:t/>
      </w:r>
    </w:p>
    <w:p>
      <w:pPr>
        <w:pStyle w:val="ab"/>
      </w:pPr>
      <w:r>
        <w:t>就业市场和房地产市场是否也表现出杠铃经济的特征？</w:t>
      </w:r>
    </w:p>
    <w:p>
      <w:r>
        <w:rPr>
          <w:rFonts w:ascii="等线(中文正文)" w:hAnsi="等线(中文正文)" w:cs="等线(中文正文)" w:eastAsia="等线(中文正文)"/>
          <w:b w:val="false"/>
          <w:i w:val="false"/>
          <w:sz w:val="20"/>
        </w:rPr>
        <w:t>发言人1：是的，在就业市场上，高技术、高门槛岗位和低技能、低收入岗位都在扩张。而在房地产市场中，重点城市的豪宅和低总价刚需房在今年上半年回暖过程中表现突出，其中豪宅价格坚挺，而低总价刚需房交易和价格企稳。</w:t>
      </w:r>
    </w:p>
    <w:p>
      <w:r>
        <w:rPr>
          <w:rFonts w:ascii="等线(中文正文)" w:hAnsi="等线(中文正文)" w:cs="等线(中文正文)" w:eastAsia="等线(中文正文)"/>
          <w:b w:val="false"/>
          <w:i w:val="false"/>
          <w:sz w:val="20"/>
        </w:rPr>
        <w:t/>
      </w:r>
    </w:p>
    <w:p>
      <w:pPr>
        <w:pStyle w:val="ab"/>
      </w:pPr>
      <w:r>
        <w:t>心理账户在杠铃经济形态中的作用是什么？</w:t>
      </w:r>
    </w:p>
    <w:p>
      <w:r>
        <w:rPr>
          <w:rFonts w:ascii="等线(中文正文)" w:hAnsi="等线(中文正文)" w:cs="等线(中文正文)" w:eastAsia="等线(中文正文)"/>
          <w:b w:val="false"/>
          <w:i w:val="false"/>
          <w:sz w:val="20"/>
        </w:rPr>
        <w:t>发言人1：心理账户是行为金融学中的一个概念，它在个体投资决策中起到关键作用。在全球和国内都以发展和安全为导向的背景下，企业和个人的投资、消费以及政策制定中存在两个极端的心理账户运行情况。发展导向的心理账户表现为追求高风险偏好和技术突破，目标是盈利最大化；而安全导向的心理账户则强调低风险偏好和风险厌恶，追求回撤最小化或兜底保障。这种心理账户的切割分化加剧了资源分布、投资资产配置和消费等方面的分化。</w:t>
      </w:r>
    </w:p>
    <w:p>
      <w:r>
        <w:rPr>
          <w:rFonts w:ascii="等线(中文正文)" w:hAnsi="等线(中文正文)" w:cs="等线(中文正文)" w:eastAsia="等线(中文正文)"/>
          <w:b w:val="false"/>
          <w:i w:val="false"/>
          <w:sz w:val="20"/>
        </w:rPr>
        <w:t/>
      </w:r>
    </w:p>
    <w:p>
      <w:pPr>
        <w:pStyle w:val="ab"/>
      </w:pPr>
      <w:r>
        <w:t>对于杠铃经济成因及其影响的预判是怎样的？</w:t>
      </w:r>
    </w:p>
    <w:p>
      <w:r>
        <w:rPr>
          <w:rFonts w:ascii="等线(中文正文)" w:hAnsi="等线(中文正文)" w:cs="等线(中文正文)" w:eastAsia="等线(中文正文)"/>
          <w:b w:val="false"/>
          <w:i w:val="false"/>
          <w:sz w:val="20"/>
        </w:rPr>
        <w:t>发言人1：我们对杠铃经济后续的影响进行了短期预判，认为新技术广泛应用、房地产链条企稳以及地缘格局稳定性上升这三大因素会在未来一段时间内促进杠铃经济缓和。其中，新技术如AI应用对经济拉动可能需要3年到5年的时间窗口，地产库存去化和销售情况的变化可能需要1到2年，地缘格局的再平衡与系统稳定也需同样长的时间。因此，杠铃经济形态的加剧及对投资、消费的影响将持续一段时间。</w:t>
      </w:r>
    </w:p>
    <w:p>
      <w:r>
        <w:rPr>
          <w:rFonts w:ascii="等线(中文正文)" w:hAnsi="等线(中文正文)" w:cs="等线(中文正文)" w:eastAsia="等线(中文正文)"/>
          <w:b w:val="false"/>
          <w:i w:val="false"/>
          <w:sz w:val="20"/>
        </w:rPr>
        <w:t/>
      </w:r>
    </w:p>
    <w:p>
      <w:pPr>
        <w:pStyle w:val="ab"/>
      </w:pPr>
      <w:r>
        <w:t>在杠铃经济下，哪些领域的发展和影响较为显著？</w:t>
      </w:r>
    </w:p>
    <w:p>
      <w:r>
        <w:rPr>
          <w:rFonts w:ascii="等线(中文正文)" w:hAnsi="等线(中文正文)" w:cs="等线(中文正文)" w:eastAsia="等线(中文正文)"/>
          <w:b w:val="false"/>
          <w:i w:val="false"/>
          <w:sz w:val="20"/>
        </w:rPr>
        <w:t>发言人1：在杠铃经济的影响下，科技端与科技金融产业的循环受益最大，是推动经济加速的关键力量，但也可能导致与其他领域循环出现割裂。消费和传统领域的系统性反转或反弹相对困难，政策出台落地后更倾向于强化科技领域的快速发展。对于通胀，短期内PPI拉动名义增长较为明显，但这种通胀并非传统意义上的良好通胀，其传导路径受限于产业链结构和地缘格局。利率方面，初期利率处于下沉区域，随着杠杆经济缓和，中期可能会有小阶段回升，长期来看，由于产业结构变化，利率总体呈趋势性下拉。</w:t>
      </w:r>
    </w:p>
    <w:p>
      <w:r>
        <w:rPr>
          <w:rFonts w:ascii="等线(中文正文)" w:hAnsi="等线(中文正文)" w:cs="等线(中文正文)" w:eastAsia="等线(中文正文)"/>
          <w:b w:val="false"/>
          <w:i w:val="false"/>
          <w:sz w:val="20"/>
        </w:rPr>
        <w:t/>
      </w:r>
    </w:p>
    <w:p>
      <w:pPr>
        <w:pStyle w:val="ab"/>
      </w:pPr>
      <w:r>
        <w:t>在杠铃经济形态下，投资策略应如何调整？</w:t>
      </w:r>
    </w:p>
    <w:p>
      <w:r>
        <w:rPr>
          <w:rFonts w:ascii="等线(中文正文)" w:hAnsi="等线(中文正文)" w:cs="等线(中文正文)" w:eastAsia="等线(中文正文)"/>
          <w:b w:val="false"/>
          <w:i w:val="false"/>
          <w:sz w:val="20"/>
        </w:rPr>
        <w:t>发言人1：鉴于杠铃经济形态的特点，建议在投资策略上进一步均衡化，不仅要关注科技产业内部资本循环和产业技术循环以及技术突破带来的机会，还要考虑到整体经济影响、通胀端的影响和终端需求的变化。在高风险高成长和安全红利的大类资产配置上，建议进行更为均衡化的布局。</w:t>
      </w:r>
    </w:p>
    <w:p>
      <w:r>
        <w:rPr>
          <w:rFonts w:ascii="等线(中文正文)" w:hAnsi="等线(中文正文)" w:cs="等线(中文正文)" w:eastAsia="等线(中文正文)"/>
          <w:b w:val="false"/>
          <w:i w:val="false"/>
          <w:sz w:val="20"/>
        </w:rPr>
        <w:t/>
      </w:r>
    </w:p>
    <w:p>
      <w:pPr>
        <w:pStyle w:val="ab"/>
      </w:pPr>
      <w:r>
        <w:t>中国经济圈与对照组的国家有哪些？美国和我国在全球GDP中的占比变化如何？</w:t>
      </w:r>
    </w:p>
    <w:p>
      <w:r>
        <w:rPr>
          <w:rFonts w:ascii="等线(中文正文)" w:hAnsi="等线(中文正文)" w:cs="等线(中文正文)" w:eastAsia="等线(中文正文)"/>
          <w:b w:val="false"/>
          <w:i w:val="false"/>
          <w:sz w:val="20"/>
        </w:rPr>
        <w:t>发言人1：中国经济圈包含东盟创始股和中国，对照组选取了德国、日本、英国、法国和韩国五个发达国家。从2015年到2025年，美国核心经贸占全球GDP比重从27.74%上升到29.51%，而我国整体占比也呈现上升趋势，从17.81%上升至20.41%。</w:t>
      </w:r>
    </w:p>
    <w:p>
      <w:r>
        <w:rPr>
          <w:rFonts w:ascii="等线(中文正文)" w:hAnsi="等线(中文正文)" w:cs="等线(中文正文)" w:eastAsia="等线(中文正文)"/>
          <w:b w:val="false"/>
          <w:i w:val="false"/>
          <w:sz w:val="20"/>
        </w:rPr>
        <w:t/>
      </w:r>
    </w:p>
    <w:p>
      <w:pPr>
        <w:pStyle w:val="ab"/>
      </w:pPr>
      <w:r>
        <w:t>中国产业结构变化有何特点？</w:t>
      </w:r>
    </w:p>
    <w:p>
      <w:r>
        <w:rPr>
          <w:rFonts w:ascii="等线(中文正文)" w:hAnsi="等线(中文正文)" w:cs="等线(中文正文)" w:eastAsia="等线(中文正文)"/>
          <w:b w:val="false"/>
          <w:i w:val="false"/>
          <w:sz w:val="20"/>
        </w:rPr>
        <w:t>发言人1：中国经济杠杆化表现为向高技术制造业和服务业两端扩张，传统部门承受压力。其中，高技术制造业增速明显高于整体工业增速，占规上工业比重在2020年至2025年间由15.1%上升至14.1%。传统制造业内部也呈现出一定的高氧化特征。</w:t>
      </w:r>
    </w:p>
    <w:p>
      <w:r>
        <w:rPr>
          <w:rFonts w:ascii="等线(中文正文)" w:hAnsi="等线(中文正文)" w:cs="等线(中文正文)" w:eastAsia="等线(中文正文)"/>
          <w:b w:val="false"/>
          <w:i w:val="false"/>
          <w:sz w:val="20"/>
        </w:rPr>
        <w:t/>
      </w:r>
    </w:p>
    <w:p>
      <w:pPr>
        <w:pStyle w:val="ab"/>
      </w:pPr>
      <w:r>
        <w:t>利润总额增长的行业有哪些？</w:t>
      </w:r>
    </w:p>
    <w:p>
      <w:r>
        <w:rPr>
          <w:rFonts w:ascii="等线(中文正文)" w:hAnsi="等线(中文正文)" w:cs="等线(中文正文)" w:eastAsia="等线(中文正文)"/>
          <w:b w:val="false"/>
          <w:i w:val="false"/>
          <w:sz w:val="20"/>
        </w:rPr>
        <w:t>发言人1：饮料精制茶和有色金属冶炼行业的利润总额趋势向上。饮料和精制茶受情绪价值驱动，金属冶炼利润上行得益于新能源、电力设备等产业支撑。而纺织业和黑色金属冶炼因供给过剩、需求疲弱导致利润大幅萎缩。</w:t>
      </w:r>
    </w:p>
    <w:p>
      <w:r>
        <w:rPr>
          <w:rFonts w:ascii="等线(中文正文)" w:hAnsi="等线(中文正文)" w:cs="等线(中文正文)" w:eastAsia="等线(中文正文)"/>
          <w:b w:val="false"/>
          <w:i w:val="false"/>
          <w:sz w:val="20"/>
        </w:rPr>
        <w:t/>
      </w:r>
    </w:p>
    <w:p>
      <w:pPr>
        <w:pStyle w:val="ab"/>
      </w:pPr>
      <w:r>
        <w:t>服务业的发展情况如何？</w:t>
      </w:r>
    </w:p>
    <w:p>
      <w:r>
        <w:rPr>
          <w:rFonts w:ascii="等线(中文正文)" w:hAnsi="等线(中文正文)" w:cs="等线(中文正文)" w:eastAsia="等线(中文正文)"/>
          <w:b w:val="false"/>
          <w:i w:val="false"/>
          <w:sz w:val="20"/>
        </w:rPr>
        <w:t>发言人1：2025年服务业占GDP比重为57.7%，细分产业中，与科技相关的信息传输软件信息、租赁商务服务业上行，同时与民生相关的健康养老、社会保障、福利及教育业也有所增长，而房地产增加值占GDP比重自2020年开始下行。</w:t>
      </w:r>
    </w:p>
    <w:p>
      <w:r>
        <w:rPr>
          <w:rFonts w:ascii="等线(中文正文)" w:hAnsi="等线(中文正文)" w:cs="等线(中文正文)" w:eastAsia="等线(中文正文)"/>
          <w:b w:val="false"/>
          <w:i w:val="false"/>
          <w:sz w:val="20"/>
        </w:rPr>
        <w:t/>
      </w:r>
    </w:p>
    <w:p>
      <w:pPr>
        <w:pStyle w:val="ab"/>
      </w:pPr>
      <w:r>
        <w:t>全球及中国的就业市场现状怎样？</w:t>
      </w:r>
    </w:p>
    <w:p>
      <w:r>
        <w:rPr>
          <w:rFonts w:ascii="等线(中文正文)" w:hAnsi="等线(中文正文)" w:cs="等线(中文正文)" w:eastAsia="等线(中文正文)"/>
          <w:b w:val="false"/>
          <w:i w:val="false"/>
          <w:sz w:val="20"/>
        </w:rPr>
        <w:t>发言人1：全球及中国的就业市场呈现杠铃化特征，技术变革导致高技能和低端职业增长，中间层职业萎缩。例如，先进制造、人工智能等新兴产业招聘需求旺盛，而家政服务、宠物服务、养老看护等职位高速增长，传统行业竞争激烈，人员过剩明显。</w:t>
      </w:r>
    </w:p>
    <w:p>
      <w:r>
        <w:rPr>
          <w:rFonts w:ascii="等线(中文正文)" w:hAnsi="等线(中文正文)" w:cs="等线(中文正文)" w:eastAsia="等线(中文正文)"/>
          <w:b w:val="false"/>
          <w:i w:val="false"/>
          <w:sz w:val="20"/>
        </w:rPr>
        <w:t/>
      </w:r>
    </w:p>
    <w:p>
      <w:pPr>
        <w:pStyle w:val="ab"/>
      </w:pPr>
      <w:r>
        <w:t>房地产市场的特点是什么？</w:t>
      </w:r>
    </w:p>
    <w:p>
      <w:r>
        <w:rPr>
          <w:rFonts w:ascii="等线(中文正文)" w:hAnsi="等线(中文正文)" w:cs="等线(中文正文)" w:eastAsia="等线(中文正文)"/>
          <w:b w:val="false"/>
          <w:i w:val="false"/>
          <w:sz w:val="20"/>
        </w:rPr>
        <w:t>发言人1：房地产市场出现两端放量特征，高端豪宅和低总价刚需住房交易活跃。以英国市场为例，刚需住房销量占比达到39%，与换购住房价差接近2001年以来最高水平。上海房地产市场同样呈现高端和低端房源热销，中间价位房源成交量下滑。</w:t>
      </w:r>
    </w:p>
    <w:p>
      <w:r>
        <w:rPr>
          <w:rFonts w:ascii="等线(中文正文)" w:hAnsi="等线(中文正文)" w:cs="等线(中文正文)" w:eastAsia="等线(中文正文)"/>
          <w:b w:val="false"/>
          <w:i w:val="false"/>
          <w:sz w:val="20"/>
        </w:rPr>
        <w:t/>
      </w:r>
    </w:p>
    <w:p>
      <w:pPr>
        <w:pStyle w:val="ab"/>
      </w:pPr>
      <w:r>
        <w:t>消费市场中高端、中端、低端零售商表现如何？</w:t>
      </w:r>
    </w:p>
    <w:p>
      <w:r>
        <w:rPr>
          <w:rFonts w:ascii="等线(中文正文)" w:hAnsi="等线(中文正文)" w:cs="等线(中文正文)" w:eastAsia="等线(中文正文)"/>
          <w:b w:val="false"/>
          <w:i w:val="false"/>
          <w:sz w:val="20"/>
        </w:rPr>
        <w:t>发言人1：高端零售商如山姆销售额增长率达40%，且卓越卡续费率高于全球平均；拼多多和奥乐迪作为低端零售商，消费者注重性价比，其中拼多多销售额超过4000亿元，增长率10%；而代表中端的回超市在过去两年关闭门店数超过600家，营收同比下降21%。</w:t>
      </w:r>
    </w:p>
    <w:p>
      <w:r>
        <w:rPr>
          <w:rFonts w:ascii="等线(中文正文)" w:hAnsi="等线(中文正文)" w:cs="等线(中文正文)" w:eastAsia="等线(中文正文)"/>
          <w:b w:val="false"/>
          <w:i w:val="false"/>
          <w:sz w:val="20"/>
        </w:rPr>
        <w:t/>
      </w:r>
    </w:p>
    <w:p>
      <w:pPr>
        <w:pStyle w:val="ab"/>
      </w:pPr>
      <w:r>
        <w:t>资产配置层面有哪些现象？</w:t>
      </w:r>
    </w:p>
    <w:p>
      <w:r>
        <w:rPr>
          <w:rFonts w:ascii="等线(中文正文)" w:hAnsi="等线(中文正文)" w:cs="等线(中文正文)" w:eastAsia="等线(中文正文)"/>
          <w:b w:val="false"/>
          <w:i w:val="false"/>
          <w:sz w:val="20"/>
        </w:rPr>
        <w:t>发言人1：资金在全球范围内流入高增长高风险领域（如科技类）和低风险稳定收入领域（如固收和黄金）。权益交易所交易产品中，科技类资金流入最多，同时资金增配美国科技股，黄金在央行储备中的占比超越了美国国债。</w:t>
      </w:r>
    </w:p>
    <w:p>
      <w:r>
        <w:rPr>
          <w:rFonts w:ascii="等线(中文正文)" w:hAnsi="等线(中文正文)" w:cs="等线(中文正文)" w:eastAsia="等线(中文正文)"/>
          <w:b w:val="false"/>
          <w:i w:val="false"/>
          <w:sz w:val="20"/>
        </w:rPr>
        <w:t/>
      </w:r>
    </w:p>
    <w:p>
      <w:pPr>
        <w:pStyle w:val="ab"/>
      </w:pPr>
      <w:r>
        <w:t>在低增长环境下，资源分配和产业政策竞争是如何变化的？低增长环境下就业市场有何变化？</w:t>
      </w:r>
    </w:p>
    <w:p>
      <w:r>
        <w:rPr>
          <w:rFonts w:ascii="等线(中文正文)" w:hAnsi="等线(中文正文)" w:cs="等线(中文正文)" w:eastAsia="等线(中文正文)"/>
          <w:b w:val="false"/>
          <w:i w:val="false"/>
          <w:sz w:val="20"/>
        </w:rPr>
        <w:t>发言人1：在低增长环境中，资源会自主分化，高端产业凭借技术溢价和战略属性获取资源，并依靠刚需和价格优势保持韧性。中间端产业则易受收入信用和资产价格影响，面临压缩。同时，全球主要经济体正加大对产业的补贴，通过补贴和税收支出实施产业政策的支出占比从2019年的GDP的1.34%上升至预测的2025年的1.67%。日本就业市场变化与产业结构相匹配，高技能岗位（如信息通信和专业科技服务）就业人数增长，与人口老龄化相关的公共管理、健康教育等领域就业人数也在增加。</w:t>
      </w:r>
    </w:p>
    <w:p>
      <w:r>
        <w:rPr>
          <w:rFonts w:ascii="等线(中文正文)" w:hAnsi="等线(中文正文)" w:cs="等线(中文正文)" w:eastAsia="等线(中文正文)"/>
          <w:b w:val="false"/>
          <w:i w:val="false"/>
          <w:sz w:val="20"/>
        </w:rPr>
        <w:t/>
      </w:r>
    </w:p>
    <w:p>
      <w:pPr>
        <w:pStyle w:val="ab"/>
      </w:pPr>
      <w:r>
        <w:t>日本在低增长状态下的产业结构变化有何特点？</w:t>
      </w:r>
    </w:p>
    <w:p>
      <w:r>
        <w:rPr>
          <w:rFonts w:ascii="等线(中文正文)" w:hAnsi="等线(中文正文)" w:cs="等线(中文正文)" w:eastAsia="等线(中文正文)"/>
          <w:b w:val="false"/>
          <w:i w:val="false"/>
          <w:sz w:val="20"/>
        </w:rPr>
        <w:t>发言人1：日本泡沫经济破裂后进入长期低增长期，高技术产业如汽车、电子元件对制造业支撑作用增强，信息和通信以及专业科技活动等知识密集型现代服务业占比大幅攀升，而传统制造业如纺织品、零售业及住宿餐饮业出现萎缩。</w:t>
      </w:r>
    </w:p>
    <w:p>
      <w:r>
        <w:rPr>
          <w:rFonts w:ascii="等线(中文正文)" w:hAnsi="等线(中文正文)" w:cs="等线(中文正文)" w:eastAsia="等线(中文正文)"/>
          <w:b w:val="false"/>
          <w:i w:val="false"/>
          <w:sz w:val="20"/>
        </w:rPr>
        <w:t/>
      </w:r>
    </w:p>
    <w:p>
      <w:pPr>
        <w:pStyle w:val="ab"/>
      </w:pPr>
      <w:r>
        <w:t>全球产业竞争中，发达国家如何应对并推动产业回流？</w:t>
      </w:r>
    </w:p>
    <w:p>
      <w:r>
        <w:rPr>
          <w:rFonts w:ascii="等线(中文正文)" w:hAnsi="等线(中文正文)" w:cs="等线(中文正文)" w:eastAsia="等线(中文正文)"/>
          <w:b w:val="false"/>
          <w:i w:val="false"/>
          <w:sz w:val="20"/>
        </w:rPr>
        <w:t>发言人1：发达国家如美国推动芯片产业本土化，三星和台积电在美国建厂；欧盟推动新能源产业回流。同时，劳动成本较低的国家如越南、孟加拉国、印度则争夺劳动密集型产品订单，但中间端经济体如马来西亚、菲律宾因发达国家产业回流及AI冲击，在承接简单外包业务上不再具有优势。</w:t>
      </w:r>
    </w:p>
    <w:p>
      <w:r>
        <w:rPr>
          <w:rFonts w:ascii="等线(中文正文)" w:hAnsi="等线(中文正文)" w:cs="等线(中文正文)" w:eastAsia="等线(中文正文)"/>
          <w:b w:val="false"/>
          <w:i w:val="false"/>
          <w:sz w:val="20"/>
        </w:rPr>
        <w:t/>
      </w:r>
    </w:p>
    <w:p>
      <w:pPr>
        <w:pStyle w:val="ab"/>
      </w:pPr>
      <w:r>
        <w:t>Z世代对当前经济的影响是什么？</w:t>
      </w:r>
    </w:p>
    <w:p>
      <w:r>
        <w:rPr>
          <w:rFonts w:ascii="等线(中文正文)" w:hAnsi="等线(中文正文)" w:cs="等线(中文正文)" w:eastAsia="等线(中文正文)"/>
          <w:b w:val="false"/>
          <w:i w:val="false"/>
          <w:sz w:val="20"/>
        </w:rPr>
        <w:t>发言人1：Z世代占我国劳动人口比重超过26%，他们倾向于即时消费，重视社交媒体、短视频和直播获取信息，追求性价比，呈现高端消费与低端精明消费并存的现象。</w:t>
      </w:r>
    </w:p>
    <w:p>
      <w:r>
        <w:rPr>
          <w:rFonts w:ascii="等线(中文正文)" w:hAnsi="等线(中文正文)" w:cs="等线(中文正文)" w:eastAsia="等线(中文正文)"/>
          <w:b w:val="false"/>
          <w:i w:val="false"/>
          <w:sz w:val="20"/>
        </w:rPr>
        <w:t/>
      </w:r>
    </w:p>
    <w:p>
      <w:pPr>
        <w:pStyle w:val="ab"/>
      </w:pPr>
      <w:r>
        <w:t>产业、金融和人口对经济增长的影响是什么？</w:t>
      </w:r>
    </w:p>
    <w:p>
      <w:r>
        <w:rPr>
          <w:rFonts w:ascii="等线(中文正文)" w:hAnsi="等线(中文正文)" w:cs="等线(中文正文)" w:eastAsia="等线(中文正文)"/>
          <w:b w:val="false"/>
          <w:i w:val="false"/>
          <w:sz w:val="20"/>
        </w:rPr>
        <w:t>发言人1：产业作为催化剂，金融作为放大剂，人口作为稳定剂。全球化进程中，高端产业强化，基础产业因刚需保持韧性；金融市场的估值、利率等机制进一步放大产业结构差异；而人口少子化老龄化特征促使需求更多向高品质服务和基层民生需求聚集。</w:t>
      </w:r>
    </w:p>
    <w:p>
      <w:r>
        <w:rPr>
          <w:rFonts w:ascii="等线(中文正文)" w:hAnsi="等线(中文正文)" w:cs="等线(中文正文)" w:eastAsia="等线(中文正文)"/>
          <w:b w:val="false"/>
          <w:i w:val="false"/>
          <w:sz w:val="20"/>
        </w:rPr>
        <w:t/>
      </w:r>
    </w:p>
    <w:p>
      <w:pPr>
        <w:pStyle w:val="ab"/>
      </w:pPr>
      <w:r>
        <w:t>当前环境下，情绪价值和心理账户如何影响经济行为？</w:t>
      </w:r>
    </w:p>
    <w:p>
      <w:r>
        <w:rPr>
          <w:rFonts w:ascii="等线(中文正文)" w:hAnsi="等线(中文正文)" w:cs="等线(中文正文)" w:eastAsia="等线(中文正文)"/>
          <w:b w:val="false"/>
          <w:i w:val="false"/>
          <w:sz w:val="20"/>
        </w:rPr>
        <w:t>发言人1：在低增长高压力环境下，情绪价值带来的边际效应递增，社交网络中的身份认同和社交信号传递作用增强，例如日本动漫产业规模大幅增长。心理账户分割性和独立性增强，在不确定性环境下，防御账户资源更多地向求稳方向转移，而进攻账户则可能更加激进。</w:t>
      </w:r>
    </w:p>
    <w:p>
      <w:r>
        <w:rPr>
          <w:rFonts w:ascii="等线(中文正文)" w:hAnsi="等线(中文正文)" w:cs="等线(中文正文)" w:eastAsia="等线(中文正文)"/>
          <w:b w:val="false"/>
          <w:i w:val="false"/>
          <w:sz w:val="20"/>
        </w:rPr>
        <w:t/>
      </w:r>
    </w:p>
    <w:p>
      <w:pPr>
        <w:pStyle w:val="ab"/>
      </w:pPr>
      <w:r>
        <w:t>金融机构贷款投向有何变化，反映何种经济现象？</w:t>
      </w:r>
    </w:p>
    <w:p>
      <w:r>
        <w:rPr>
          <w:rFonts w:ascii="等线(中文正文)" w:hAnsi="等线(中文正文)" w:cs="等线(中文正文)" w:eastAsia="等线(中文正文)"/>
          <w:b w:val="false"/>
          <w:i w:val="false"/>
          <w:sz w:val="20"/>
        </w:rPr>
        <w:t>发言人1：我国金融机构贷款投向分为发展和安全两端，绿色贷款、科技型中小企业贷款余额增速达20%，基础设施贷款和普惠小微贷款余额增速超过5%，而房地产贷款和住户消费贷款余额出现负增长，这反映出杠铃经济的技术升级和资源重新配置效应。</w:t>
      </w:r>
    </w:p>
    <w:p>
      <w:r>
        <w:rPr>
          <w:rFonts w:ascii="等线(中文正文)" w:hAnsi="等线(中文正文)" w:cs="等线(中文正文)" w:eastAsia="等线(中文正文)"/>
          <w:b w:val="false"/>
          <w:i w:val="false"/>
          <w:sz w:val="20"/>
        </w:rPr>
        <w:t/>
      </w:r>
    </w:p>
    <w:p>
      <w:pPr>
        <w:pStyle w:val="ab"/>
      </w:pPr>
      <w:r>
        <w:t>杠铃经济对技术通胀、利率和资产配置的影响如何？</w:t>
      </w:r>
    </w:p>
    <w:p>
      <w:r>
        <w:rPr>
          <w:rFonts w:ascii="等线(中文正文)" w:hAnsi="等线(中文正文)" w:cs="等线(中文正文)" w:eastAsia="等线(中文正文)"/>
          <w:b w:val="false"/>
          <w:i w:val="false"/>
          <w:sz w:val="20"/>
        </w:rPr>
        <w:t>发言人1：杠铃经济导致以人工智能为代表的高技术产业获得更多资源，形成强者更强的技术升级格局，我国在全球新技术提升中的地位上移。</w:t>
      </w:r>
    </w:p>
    <w:p>
      <w:r>
        <w:rPr>
          <w:rFonts w:ascii="等线(中文正文)" w:hAnsi="等线(中文正文)" w:cs="等线(中文正文)" w:eastAsia="等线(中文正文)"/>
          <w:b w:val="false"/>
          <w:i w:val="false"/>
          <w:sz w:val="20"/>
        </w:rPr>
        <w:t/>
      </w:r>
    </w:p>
    <w:p>
      <w:pPr>
        <w:pStyle w:val="ab"/>
      </w:pPr>
      <w:r>
        <w:t>在传统产业中，我们观察到了杠铃化的特征，能否详细解释一下这个特征以及它如何表现？</w:t>
      </w:r>
    </w:p>
    <w:p>
      <w:r>
        <w:rPr>
          <w:rFonts w:ascii="等线(中文正文)" w:hAnsi="等线(中文正文)" w:cs="等线(中文正文)" w:eastAsia="等线(中文正文)"/>
          <w:b w:val="false"/>
          <w:i w:val="false"/>
          <w:sz w:val="20"/>
        </w:rPr>
        <w:t>发言人1：传统产业内部的杠铃化特征表现为两端发展迅速，一端是受益于技术及时进行数字化改造或与新技术发展相关，例如机械化工行业；另一端选择出海寻求扩张。中间端则以供给过剩和内卷为代表的传统行业为主，这些传统产业将持续创新，而高端产业发展对上游资源、部分中游设备制造及具备议价能力的高端制造有利，但这种利好可能需要一定时间传导到中下游企业，导致收入修复和利润承压的情况。今年上半年，我们看到工业利润在不断改善，其中PPI增长对GDP名义增长改善的贡献占比超过55%。</w:t>
      </w:r>
    </w:p>
    <w:p>
      <w:r>
        <w:rPr>
          <w:rFonts w:ascii="等线(中文正文)" w:hAnsi="等线(中文正文)" w:cs="等线(中文正文)" w:eastAsia="等线(中文正文)"/>
          <w:b w:val="false"/>
          <w:i w:val="false"/>
          <w:sz w:val="20"/>
        </w:rPr>
        <w:t/>
      </w:r>
    </w:p>
    <w:p>
      <w:pPr>
        <w:pStyle w:val="ab"/>
      </w:pPr>
      <w:r>
        <w:t>目前我国产业的布局特征对利率中枢有何影响？</w:t>
      </w:r>
    </w:p>
    <w:p>
      <w:r>
        <w:rPr>
          <w:rFonts w:ascii="等线(中文正文)" w:hAnsi="等线(中文正文)" w:cs="等线(中文正文)" w:eastAsia="等线(中文正文)"/>
          <w:b w:val="false"/>
          <w:i w:val="false"/>
          <w:sz w:val="20"/>
        </w:rPr>
        <w:t>发言人1：目前我国产业布局上一端向科技、一端向服务业发展，这使得短期内利率中枢震荡下行，因为科技领域的融资总量尚不足。从中期看，我国利率水平将取决于科技能否转化为生产力并带动广泛资本投资。美国目前处于类似中期阶段，由于资本开支、财政扩张及生产率提高，能够共同抬升利率水平。根据纽约联储预测，自然利率已上调0.1个百分点。在高利率环境下，美股科技行业仍显现出较好的韧性和偿债能力，表明科技盈利良好的时候，较高利率并不会抑制科技行业发展，反而可能对传统行业如电信公用事业行业造成压制，使杠铃经济特征更加明显。</w:t>
      </w:r>
    </w:p>
    <w:p>
      <w:r>
        <w:rPr>
          <w:rFonts w:ascii="等线(中文正文)" w:hAnsi="等线(中文正文)" w:cs="等线(中文正文)" w:eastAsia="等线(中文正文)"/>
          <w:b w:val="false"/>
          <w:i w:val="false"/>
          <w:sz w:val="20"/>
        </w:rPr>
        <w:t/>
      </w:r>
    </w:p>
    <w:p>
      <w:pPr>
        <w:pStyle w:val="ab"/>
      </w:pPr>
      <w:r>
        <w:t>对于我国而言，科技行业融资不足对长端利率上行有何影响？</w:t>
      </w:r>
    </w:p>
    <w:p>
      <w:r>
        <w:rPr>
          <w:rFonts w:ascii="等线(中文正文)" w:hAnsi="等线(中文正文)" w:cs="等线(中文正文)" w:eastAsia="等线(中文正文)"/>
          <w:b w:val="false"/>
          <w:i w:val="false"/>
          <w:sz w:val="20"/>
        </w:rPr>
        <w:t>发言人1：目前我国科技行业融资不足，抑制了长端利率上行。一方面是因为传统地产基建仍是存量贷款主体，地产下行带动融资需求下降；另一方面，服务业快速增长，降低了全社会对投资和融资的依赖度。因此，未来我国利率中枢将取决于科技景气能否转化为更广泛的资本开支，进而拉动利率上行。</w:t>
      </w:r>
    </w:p>
    <w:p>
      <w:r>
        <w:rPr>
          <w:rFonts w:ascii="等线(中文正文)" w:hAnsi="等线(中文正文)" w:cs="等线(中文正文)" w:eastAsia="等线(中文正文)"/>
          <w:b w:val="false"/>
          <w:i w:val="false"/>
          <w:sz w:val="20"/>
        </w:rPr>
        <w:t/>
      </w:r>
    </w:p>
    <w:p>
      <w:pPr>
        <w:pStyle w:val="ab"/>
      </w:pPr>
      <w:r>
        <w:t>资产配置方面将如何延续当前特征，并展望未来？</w:t>
      </w:r>
    </w:p>
    <w:p>
      <w:r>
        <w:rPr>
          <w:rFonts w:ascii="等线(中文正文)" w:hAnsi="等线(中文正文)" w:cs="等线(中文正文)" w:eastAsia="等线(中文正文)"/>
          <w:b w:val="false"/>
          <w:i w:val="false"/>
          <w:sz w:val="20"/>
        </w:rPr>
        <w:t>发言人1：资产配置将继续呈现两端化特征，一端是高风险高成长领域，如AI基础设施产业链、半导体通信、精密制造等景气方向；另一端是低波动高安全领域，如央国企红利及资源能化链条等防御方向。</w:t>
      </w:r>
    </w:p>
    <w:p>
      <w:r>
        <w:rPr>
          <w:rFonts w:ascii="等线(中文正文)" w:hAnsi="等线(中文正文)" w:cs="等线(中文正文)" w:eastAsia="等线(中文正文)"/>
          <w:b w:val="false"/>
          <w:i w:val="false"/>
          <w:sz w:val="20"/>
        </w:rPr>
        <w:t/>
      </w:r>
    </w:p>
    <w:p>
      <w:pPr>
        <w:pStyle w:val="ab"/>
      </w:pPr>
      <w:r>
        <w:t>如何修复当前的杠铃经济形态？</w:t>
      </w:r>
    </w:p>
    <w:p>
      <w:r>
        <w:rPr>
          <w:rFonts w:ascii="等线(中文正文)" w:hAnsi="等线(中文正文)" w:cs="等线(中文正文)" w:eastAsia="等线(中文正文)"/>
          <w:b w:val="false"/>
          <w:i w:val="false"/>
          <w:sz w:val="20"/>
        </w:rPr>
        <w:t>发言人1：修复杠铃经济形态主要依赖于三个方面：首先，新技术需对经济增长产生广泛推动作用，尤其是AI带来的增长率提升可能需要十年左右的时间；其次，房地产产业链企稳改善，以应对目前商品住宅库存去化需要两年左右的现状；最后，地缘格局稳定性提升，尽管中美间已建立建设性战略稳定关系，但仍需关注不确定因素的影响。</w:t>
      </w:r>
    </w:p>
    <w:p>
      <w:r>
        <w:rPr>
          <w:rFonts w:ascii="等线(中文正文)" w:hAnsi="等线(中文正文)" w:cs="等线(中文正文)" w:eastAsia="等线(中文正文)"/>
          <w:b w:val="false"/>
          <w:i w:val="false"/>
          <w:sz w:val="20"/>
        </w:rPr>
        <w:t/>
      </w:r>
    </w:p>
    <w:p>
      <w:pPr>
        <w:pStyle w:val="ab"/>
      </w:pPr>
      <w:r>
        <w:t>具体措施上，如何解决中部塌陷问题以改善经济结构？</w:t>
      </w:r>
    </w:p>
    <w:p>
      <w:r>
        <w:rPr>
          <w:rFonts w:ascii="等线(中文正文)" w:hAnsi="等线(中文正文)" w:cs="等线(中文正文)" w:eastAsia="等线(中文正文)"/>
          <w:b w:val="false"/>
          <w:i w:val="false"/>
          <w:sz w:val="20"/>
        </w:rPr>
        <w:t>发言人1：解决中部塌陷问题需通过全国统一大市场建设，提高低水平竞争成本，扩大优质企业规模经济和跨区域配置能力，改善中间制造和服务行业的盈利环境；同时，在需求端投资于人，通过基本公共服务均等化、完善收入分配制度等方式提升底部收入与消费倾向，形成民生改善、消费提升带动经济发展的良性循环。</w:t>
      </w:r>
    </w:p>
    <w:p>
      <w:r>
        <w:rPr>
          <w:rFonts w:ascii="等线(中文正文)" w:hAnsi="等线(中文正文)" w:cs="等线(中文正文)" w:eastAsia="等线(中文正文)"/>
          <w:b w:val="false"/>
          <w:i w:val="false"/>
          <w:sz w:val="20"/>
        </w:rPr>
        <w:t/>
      </w:r>
    </w:p>
    <w:p>
      <w:pPr>
        <w:pStyle w:val="ab"/>
      </w:pPr>
      <w:r>
        <w:t>针对易被AI替代的结构化工作，有何应对策略？</w:t>
      </w:r>
    </w:p>
    <w:p>
      <w:r>
        <w:rPr>
          <w:rFonts w:ascii="等线(中文正文)" w:hAnsi="等线(中文正文)" w:cs="等线(中文正文)" w:eastAsia="等线(中文正文)"/>
          <w:b w:val="false"/>
          <w:i w:val="false"/>
          <w:sz w:val="20"/>
        </w:rPr>
        <w:t>发言人1：需要推进教育科技人才发展，开展大规模职业培训，培养高技能人才，实施就业扶持政策，推动人力资本高质量发展，将人口红利转化为人才红利，以适应未来经济发展需求。</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2026-07-28T16:47:05Z</dcterms:created>
  <dc:creator>Apache POI</dc:creator>
</cp:coreProperties>
</file>