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中际旭创 260728_导读</w:t>
      </w:r>
    </w:p>
    <w:p>
      <w:pPr>
        <w:pStyle w:val="a0"/>
        <w:jc w:val="center"/>
      </w:pPr>
      <w:r>
        <w:t>2026年07月29日 08:10</w:t>
      </w:r>
    </w:p>
    <w:p>
      <w:pPr>
        <w:pStyle w:val="a7"/>
      </w:pPr>
      <w:r>
        <w:t>关键词</w:t>
      </w:r>
    </w:p>
    <w:p>
      <w:r>
        <w:rPr>
          <w:rFonts w:ascii="等线(中文正文)" w:hAnsi="等线(中文正文)" w:cs="等线(中文正文)" w:eastAsia="等线(中文正文)"/>
          <w:b w:val="false"/>
          <w:i w:val="false"/>
          <w:sz w:val="20"/>
        </w:rPr>
        <w:t xml:space="preserve">光模块 价格 市场传闻 毛利率 资本开支 新产品 供应商 物料 竞争格局 800G 1.6T 2.4T NPO SPO 互通性 供应缺口 光连接 技术含量 硅光芯片 封装技术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金巴托公司针对市场传闻和投资者关注的多个问题进行了回应。针对光模块价格大幅下降的传闻，公司明确表示其与实际情况不符，强调了产品定价策略及行业内的健康竞争状态。公司对行业需求持积极态度，指出大客户对产品需求持续增长，并对2027年及以后的订单能见度感到乐观。提及新产品如NPO和2.4T，表明公司在高端市场和技术研发方面保持竞争优势。同时，公司回应了毛利率和资本开支可持续性的问题，强调技术迭代和市场需求对价格和盈利能力的正面影响，对未来持积极态度。管理层呼吁投资者与其保持沟通，共同理解市场和公司的真实情况，以避免市场传言的误导。</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金巴托公司回应市场传闻与未来需求预测</w:t>
      </w:r>
    </w:p>
    <w:p>
      <w:r>
        <w:rPr>
          <w:rFonts w:ascii="等线(中文正文)" w:hAnsi="等线(中文正文)" w:cs="等线(中文正文)" w:eastAsia="等线(中文正文)"/>
          <w:b w:val="false"/>
          <w:i w:val="false"/>
          <w:sz w:val="20"/>
        </w:rPr>
        <w:t>会议中，公司管理层针对市场关于光模块价格的传闻进行了澄清，强调价格远高于传言中的水平，行业竞争健康而非恶性。同时，管理层分享了客户对未来几年订单的明确指引，包括2027年和2028年的强劲需求预测，表明资本开支持续且需求稳定增长。</w:t>
      </w:r>
    </w:p>
    <w:p>
      <w:r>
        <w:rPr>
          <w:rFonts w:ascii="等线(中文正文)" w:hAnsi="等线(中文正文)" w:cs="等线(中文正文)" w:eastAsia="等线(中文正文)"/>
          <w:b w:val="false"/>
          <w:i w:val="false"/>
          <w:sz w:val="20"/>
        </w:rPr>
        <w:t/>
      </w:r>
    </w:p>
    <w:p>
      <w:pPr>
        <w:pStyle w:val="ab"/>
        <w:numPr>
          <w:numId w:val="2"/>
        </w:numPr>
      </w:pPr>
      <w:r>
        <w:t>05:57 2028年新产品指引与物料供应策略</w:t>
      </w:r>
    </w:p>
    <w:p>
      <w:r>
        <w:rPr>
          <w:rFonts w:ascii="等线(中文正文)" w:hAnsi="等线(中文正文)" w:cs="等线(中文正文)" w:eastAsia="等线(中文正文)"/>
          <w:b w:val="false"/>
          <w:i w:val="false"/>
          <w:sz w:val="20"/>
        </w:rPr>
        <w:t>讨论了2028年针对2.4T、NPO及SPO等新产品的市场需求量大，但具体采购量保密。针对NPO物料供应，公司正通过签订长协、扩充供应商、预付款及股权投资等方式保障供应，预计下半年物料状况将逐步改善，出货量好转。</w:t>
      </w:r>
    </w:p>
    <w:p>
      <w:r>
        <w:rPr>
          <w:rFonts w:ascii="等线(中文正文)" w:hAnsi="等线(中文正文)" w:cs="等线(中文正文)" w:eastAsia="等线(中文正文)"/>
          <w:b w:val="false"/>
          <w:i w:val="false"/>
          <w:sz w:val="20"/>
        </w:rPr>
        <w:t/>
      </w:r>
    </w:p>
    <w:p>
      <w:pPr>
        <w:pStyle w:val="ab"/>
        <w:numPr>
          <w:numId w:val="3"/>
        </w:numPr>
      </w:pPr>
      <w:r>
        <w:t>11:22 探讨价格调整与市场竞争壁垒</w:t>
      </w:r>
    </w:p>
    <w:p>
      <w:r>
        <w:rPr>
          <w:rFonts w:ascii="等线(中文正文)" w:hAnsi="等线(中文正文)" w:cs="等线(中文正文)" w:eastAsia="等线(中文正文)"/>
          <w:b w:val="false"/>
          <w:i w:val="false"/>
          <w:sz w:val="20"/>
        </w:rPr>
        <w:t>对话围绕价格调整背后的原因展开，讨论了供需关系、成本和技术对价格的影响，并指出恶意低价竞争不普遍。同时，分析了市场进入壁垒，强调了不同产品型号和距离对价格的差异化影响，以及业务版本与硅光版本价格的差异。</w:t>
      </w:r>
    </w:p>
    <w:p>
      <w:r>
        <w:rPr>
          <w:rFonts w:ascii="等线(中文正文)" w:hAnsi="等线(中文正文)" w:cs="等线(中文正文)" w:eastAsia="等线(中文正文)"/>
          <w:b w:val="false"/>
          <w:i w:val="false"/>
          <w:sz w:val="20"/>
        </w:rPr>
        <w:t/>
      </w:r>
    </w:p>
    <w:p>
      <w:pPr>
        <w:pStyle w:val="ab"/>
        <w:numPr>
          <w:numId w:val="4"/>
        </w:numPr>
      </w:pPr>
      <w:r>
        <w:t>15:53 光模块行业供应格局与竞争优势分析</w:t>
      </w:r>
    </w:p>
    <w:p>
      <w:r>
        <w:rPr>
          <w:rFonts w:ascii="等线(中文正文)" w:hAnsi="等线(中文正文)" w:cs="等线(中文正文)" w:eastAsia="等线(中文正文)"/>
          <w:b w:val="false"/>
          <w:i w:val="false"/>
          <w:sz w:val="20"/>
        </w:rPr>
        <w:t>光模块行业供应格局未全面开放，多数客户倾向于与固定供应商合作。尽管800G等高端产品需求大增，新供应商需通过严格认证，整体竞争格局仍由少数技术领先企业主导。行业快速迭代，高端产品如2.47G等技术门槛高，仅少数供应商能满足客户需求，未来行业机会增多而非减少。</w:t>
      </w:r>
    </w:p>
    <w:p>
      <w:r>
        <w:rPr>
          <w:rFonts w:ascii="等线(中文正文)" w:hAnsi="等线(中文正文)" w:cs="等线(中文正文)" w:eastAsia="等线(中文正文)"/>
          <w:b w:val="false"/>
          <w:i w:val="false"/>
          <w:sz w:val="20"/>
        </w:rPr>
        <w:t/>
      </w:r>
    </w:p>
    <w:p>
      <w:pPr>
        <w:pStyle w:val="ab"/>
        <w:numPr>
          <w:numId w:val="5"/>
        </w:numPr>
      </w:pPr>
      <w:r>
        <w:t>21:23 2027年订单与毛利率展望及市场传言澄清</w:t>
      </w:r>
    </w:p>
    <w:p>
      <w:r>
        <w:rPr>
          <w:rFonts w:ascii="等线(中文正文)" w:hAnsi="等线(中文正文)" w:cs="等线(中文正文)" w:eastAsia="等线(中文正文)"/>
          <w:b w:val="false"/>
          <w:i w:val="false"/>
          <w:sz w:val="20"/>
        </w:rPr>
        <w:t>参会者询问了2027年订单对毛利率和净利率的影响，得到了公司对未来毛利率增长的信心承诺，尤其是在新产品上量时。同时，澄清了关于1.6T型号及市场传言的误解，强调了公司对市场需求的准确判断和应对策略。</w:t>
      </w:r>
    </w:p>
    <w:p>
      <w:r>
        <w:rPr>
          <w:rFonts w:ascii="等线(中文正文)" w:hAnsi="等线(中文正文)" w:cs="等线(中文正文)" w:eastAsia="等线(中文正文)"/>
          <w:b w:val="false"/>
          <w:i w:val="false"/>
          <w:sz w:val="20"/>
        </w:rPr>
        <w:t/>
      </w:r>
    </w:p>
    <w:p>
      <w:pPr>
        <w:pStyle w:val="ab"/>
        <w:numPr>
          <w:numId w:val="6"/>
        </w:numPr>
      </w:pPr>
      <w:r>
        <w:t>25:34 光连接产品在数据中心资本开支占比提升趋势</w:t>
      </w:r>
    </w:p>
    <w:p>
      <w:r>
        <w:rPr>
          <w:rFonts w:ascii="等线(中文正文)" w:hAnsi="等线(中文正文)" w:cs="等线(中文正文)" w:eastAsia="等线(中文正文)"/>
          <w:b w:val="false"/>
          <w:i w:val="false"/>
          <w:sz w:val="20"/>
        </w:rPr>
        <w:t>对话讨论了光连接产品在数据中心资本开支中占比持续提升的现象，主要归因于技术迭代加速和产品价格随技术含量提升而上涨。未来，更高带宽的光连接产品如NPO、SPO等将逐渐应用于数据中心内部及楼宇间互联，应用场景的扩展将进一步推动行业健康发展。行业竞争格局向好，掌握尖端技术的企业将占据优势。</w:t>
      </w:r>
    </w:p>
    <w:p>
      <w:r>
        <w:rPr>
          <w:rFonts w:ascii="等线(中文正文)" w:hAnsi="等线(中文正文)" w:cs="等线(中文正文)" w:eastAsia="等线(中文正文)"/>
          <w:b w:val="false"/>
          <w:i w:val="false"/>
          <w:sz w:val="20"/>
        </w:rPr>
        <w:t/>
      </w:r>
    </w:p>
    <w:p>
      <w:pPr>
        <w:pStyle w:val="ab"/>
        <w:numPr>
          <w:numId w:val="7"/>
        </w:numPr>
      </w:pPr>
      <w:r>
        <w:t>31:45 800G光模块市场趋势与技术挑战</w:t>
      </w:r>
    </w:p>
    <w:p>
      <w:r>
        <w:rPr>
          <w:rFonts w:ascii="等线(中文正文)" w:hAnsi="等线(中文正文)" w:cs="等线(中文正文)" w:eastAsia="等线(中文正文)"/>
          <w:b w:val="false"/>
          <w:i w:val="false"/>
          <w:sz w:val="20"/>
        </w:rPr>
        <w:t>讨论了800G光模块市场需求增长，尤其是基于单波200G技术的产品，以及其毛利率和门槛优势。提及了国内AF中心建设加速，光连接产品需求提升，及未来市场ASP上涨趋势。探讨了技术迭代加速，如从单波200G到32通道，公司正转型为平台型，掌握核心技术以应对未来挑战，确保行业竞争力。</w:t>
      </w:r>
    </w:p>
    <w:p>
      <w:r>
        <w:rPr>
          <w:rFonts w:ascii="等线(中文正文)" w:hAnsi="等线(中文正文)" w:cs="等线(中文正文)" w:eastAsia="等线(中文正文)"/>
          <w:b w:val="false"/>
          <w:i w:val="false"/>
          <w:sz w:val="20"/>
        </w:rPr>
        <w:t/>
      </w:r>
    </w:p>
    <w:p>
      <w:pPr>
        <w:pStyle w:val="ab"/>
        <w:numPr>
          <w:numId w:val="8"/>
        </w:numPr>
      </w:pPr>
      <w:r>
        <w:t>38:55 2027年光模块需求量及市场预测</w:t>
      </w:r>
    </w:p>
    <w:p>
      <w:r>
        <w:rPr>
          <w:rFonts w:ascii="等线(中文正文)" w:hAnsi="等线(中文正文)" w:cs="等线(中文正文)" w:eastAsia="等线(中文正文)"/>
          <w:b w:val="false"/>
          <w:i w:val="false"/>
          <w:sz w:val="20"/>
        </w:rPr>
        <w:t>讨论了2027年光模块的需求量，指出头部客户将批量采购NPO产品，预计2028年大规模上量。同时，CSP客户对NPO方案兴趣浓厚，光模块与GPU的比例上升，反映AI集群规模扩大导致需求增长。部分客户直接告知需求总量，部分仅提供份额，需据此反推市场总量。</w:t>
      </w:r>
    </w:p>
    <w:p>
      <w:r>
        <w:rPr>
          <w:rFonts w:ascii="等线(中文正文)" w:hAnsi="等线(中文正文)" w:cs="等线(中文正文)" w:eastAsia="等线(中文正文)"/>
          <w:b w:val="false"/>
          <w:i w:val="false"/>
          <w:sz w:val="20"/>
        </w:rPr>
        <w:t/>
      </w:r>
    </w:p>
    <w:p>
      <w:pPr>
        <w:pStyle w:val="ab"/>
        <w:numPr>
          <w:numId w:val="9"/>
        </w:numPr>
      </w:pPr>
      <w:r>
        <w:t>44:36 行业健康与市场传言澄清</w:t>
      </w:r>
    </w:p>
    <w:p>
      <w:r>
        <w:rPr>
          <w:rFonts w:ascii="等线(中文正文)" w:hAnsi="等线(中文正文)" w:cs="等线(中文正文)" w:eastAsia="等线(中文正文)"/>
          <w:b w:val="false"/>
          <w:i w:val="false"/>
          <w:sz w:val="20"/>
        </w:rPr>
        <w:t>对话强调了通过充分沟通交流提升对行业健康状况和竞争格局的判断，鼓励在市场传言时主动交流了解真实情况，避免误导。坚信行业健康持续发展，客户资本开支稳定，呼吁不要因市场波动产生担忧或恐慌情绪。</w:t>
      </w:r>
    </w:p>
    <w:p>
      <w:r>
        <w:rPr>
          <w:rFonts w:ascii="等线(中文正文)" w:hAnsi="等线(中文正文)" w:cs="等线(中文正文)" w:eastAsia="等线(中文正文)"/>
          <w:b w:val="false"/>
          <w:i w:val="false"/>
          <w:sz w:val="20"/>
        </w:rPr>
        <w:t/>
      </w:r>
    </w:p>
    <w:p>
      <w:pPr>
        <w:pStyle w:val="a7"/>
      </w:pPr>
      <w:r>
        <w:t>发言总结</w:t>
      </w:r>
    </w:p>
    <w:p>
      <w:pPr>
        <w:pStyle w:val="ab"/>
        <w:numPr>
          <w:numId w:val="10"/>
        </w:numPr>
      </w:pPr>
      <w:r>
        <w:t>发言人1</w:t>
      </w:r>
    </w:p>
    <w:p>
      <w:r>
        <w:rPr>
          <w:rFonts w:ascii="等线(中文正文)" w:hAnsi="等线(中文正文)" w:cs="等线(中文正文)" w:eastAsia="等线(中文正文)"/>
          <w:b w:val="false"/>
          <w:i w:val="false"/>
          <w:sz w:val="20"/>
        </w:rPr>
        <w:t>他主持的电话会议中，针对投资者和分析师对市场传闻、公司经营及行业状况的疑问进行了详细回应。他首先澄清了有关光模块市场价格的误解，强调公司产品定价策略符合市场需求，同时反驳了市场上的负面传闻。尽管面临供应链和市场需求的挑战，他指出公司已采取有效措施保障物料供应，强调了未来几年，特别是2027年和2028年，公司及其客户对新技术的强劲需求。他重申行业竞争和技术发展态势良好，预示着公司及整个行业的持续增长。此外，他提到了公司在研发和技术能力上的进展，以及如何应对市场变化以维持和提升其市场地位，彰显了公司面对挑战时的积极态度和应对策略。</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问：您认为明年价格调整的主要原因是什么？是由于与客户的沟通中年降的基本情况，还是因为竞争加剧导致的价格调整？</w:t>
      </w:r>
    </w:p>
    <w:p>
      <w:r>
        <w:rPr>
          <w:rFonts w:ascii="等线(中文正文)" w:hAnsi="等线(中文正文)" w:cs="等线(中文正文)" w:eastAsia="等线(中文正文)"/>
          <w:b w:val="false"/>
          <w:i w:val="false"/>
          <w:sz w:val="20"/>
        </w:rPr>
        <w:t>发言人1 答：明年价格调整并非由单一原因引起，而是与供需关系紧密相关。尽管行业通常会有价格连降的现象，但今年由于需求迅猛增长和物料紧张，供应商会根据自身成本、产品技术和客户反馈报出合理价格，并未出现恶意低价竞争的情况。</w:t>
      </w:r>
    </w:p>
    <w:p>
      <w:r>
        <w:rPr>
          <w:rFonts w:ascii="等线(中文正文)" w:hAnsi="等线(中文正文)" w:cs="等线(中文正文)" w:eastAsia="等线(中文正文)"/>
          <w:b w:val="false"/>
          <w:i w:val="false"/>
          <w:sz w:val="20"/>
        </w:rPr>
        <w:t/>
      </w:r>
    </w:p>
    <w:p>
      <w:pPr>
        <w:pStyle w:val="ab"/>
      </w:pPr>
      <w:r>
        <w:t>发言人1 问：针对市场对于后续竞争格局变化的担忧，您能否详细解释一下我们应如何把握新进入市场的竞争壁垒？</w:t>
      </w:r>
    </w:p>
    <w:p>
      <w:r>
        <w:rPr>
          <w:rFonts w:ascii="等线(中文正文)" w:hAnsi="等线(中文正文)" w:cs="等线(中文正文)" w:eastAsia="等线(中文正文)"/>
          <w:b w:val="false"/>
          <w:i w:val="false"/>
          <w:sz w:val="20"/>
        </w:rPr>
        <w:t>发言人1 答：当前市场中，确实存在新的友商声称能进入光芯片领域，但我们需关注市场供需情况以及潜在竞争对手对整体竞争格局的影响。目前，光模块行业不同厂家之间的产品具有互通性，技术兼容性高，客户更倾向于与固定的三家供应商长期合作。即使有供应商增加，也主要集中在特定客户群体中，且新进来的友商更多集中在800G供应上，而更高性能产品的门槛较高，不仅需要通过客户认证测试，导入过程也较为漫长。因此，市场并未呈现自由进出的状态，头部客户仍占据主导地位。</w:t>
      </w:r>
    </w:p>
    <w:p>
      <w:r>
        <w:rPr>
          <w:rFonts w:ascii="等线(中文正文)" w:hAnsi="等线(中文正文)" w:cs="等线(中文正文)" w:eastAsia="等线(中文正文)"/>
          <w:b w:val="false"/>
          <w:i w:val="false"/>
          <w:sz w:val="20"/>
        </w:rPr>
        <w:t/>
      </w:r>
    </w:p>
    <w:p>
      <w:pPr>
        <w:pStyle w:val="ab"/>
      </w:pPr>
      <w:r>
        <w:t>发言人1 问：在167领域，供应商竞争格局是否像大家想象的那样激烈混乱？</w:t>
      </w:r>
    </w:p>
    <w:p>
      <w:r>
        <w:rPr>
          <w:rFonts w:ascii="等线(中文正文)" w:hAnsi="等线(中文正文)" w:cs="等线(中文正文)" w:eastAsia="等线(中文正文)"/>
          <w:b w:val="false"/>
          <w:i w:val="false"/>
          <w:sz w:val="20"/>
        </w:rPr>
        <w:t>发言人1 答：实际上，167领域的供应商竞争格局并非大家想象中的高度混乱。虽然头部大客户的需求集中且有限，但作为行业一流供应商，我们已成功获取显著竞争优势，在核心大客户中占据不错份额，并且在高端、高速率产品如2.47技术及NPO等应用中，只有少数供应商具备提供此类高端产品的技术能力。</w:t>
      </w:r>
    </w:p>
    <w:p>
      <w:r>
        <w:rPr>
          <w:rFonts w:ascii="等线(中文正文)" w:hAnsi="等线(中文正文)" w:cs="等线(中文正文)" w:eastAsia="等线(中文正文)"/>
          <w:b w:val="false"/>
          <w:i w:val="false"/>
          <w:sz w:val="20"/>
        </w:rPr>
        <w:t/>
      </w:r>
    </w:p>
    <w:p>
      <w:pPr>
        <w:pStyle w:val="ab"/>
      </w:pPr>
      <w:r>
        <w:t>发言人1 问：对于2027年公司在强劲需求和新产品的情况下，毛利率或净利率有何展望？</w:t>
      </w:r>
    </w:p>
    <w:p>
      <w:r>
        <w:rPr>
          <w:rFonts w:ascii="等线(中文正文)" w:hAnsi="等线(中文正文)" w:cs="等线(中文正文)" w:eastAsia="等线(中文正文)"/>
          <w:b w:val="false"/>
          <w:i w:val="false"/>
          <w:sz w:val="20"/>
        </w:rPr>
        <w:t>发言人1 答：我们对2027年的订单情况非常乐观，因为需求量和价格都表现良好。由于行业需求旺盛导致物料紧缺，各供应商报价谨慎，并且重点产品的市场份额也将影响报价。我们有信心保持毛利稳定，且随着新产品在2027年开始上量，新产品毛利将远高于现有产品，有效拉动整体毛利增长。进入新的应用市场，如scare up光连接解决方案，凭借技术能力和行业领先地位，我们有能力提升产品毛利率。</w:t>
      </w:r>
    </w:p>
    <w:p>
      <w:r>
        <w:rPr>
          <w:rFonts w:ascii="等线(中文正文)" w:hAnsi="等线(中文正文)" w:cs="等线(中文正文)" w:eastAsia="等线(中文正文)"/>
          <w:b w:val="false"/>
          <w:i w:val="false"/>
          <w:sz w:val="20"/>
        </w:rPr>
        <w:t/>
      </w:r>
    </w:p>
    <w:p>
      <w:pPr>
        <w:pStyle w:val="ab"/>
      </w:pPr>
      <w:r>
        <w:t>发言人1 问：关于1.6T产品型号多样带来的价格差异以及明年的增量需求，特别是关于新up里的增量部分？</w:t>
      </w:r>
    </w:p>
    <w:p>
      <w:r>
        <w:rPr>
          <w:rFonts w:ascii="等线(中文正文)" w:hAnsi="等线(中文正文)" w:cs="等线(中文正文)" w:eastAsia="等线(中文正文)"/>
          <w:b w:val="false"/>
          <w:i w:val="false"/>
          <w:sz w:val="20"/>
        </w:rPr>
        <w:t>发言人1 答：由于设备问题，该部分语音内容未能成功记录。</w:t>
      </w:r>
    </w:p>
    <w:p>
      <w:r>
        <w:rPr>
          <w:rFonts w:ascii="等线(中文正文)" w:hAnsi="等线(中文正文)" w:cs="等线(中文正文)" w:eastAsia="等线(中文正文)"/>
          <w:b w:val="false"/>
          <w:i w:val="false"/>
          <w:sz w:val="20"/>
        </w:rPr>
        <w:t/>
      </w:r>
    </w:p>
    <w:p>
      <w:pPr>
        <w:pStyle w:val="ab"/>
      </w:pPr>
      <w:r>
        <w:t>发言人1 问：未来下游大客户在新型产品形态以及STILU网络增量使用方面的规划？</w:t>
      </w:r>
    </w:p>
    <w:p>
      <w:r>
        <w:rPr>
          <w:rFonts w:ascii="等线(中文正文)" w:hAnsi="等线(中文正文)" w:cs="等线(中文正文)" w:eastAsia="等线(中文正文)"/>
          <w:b w:val="false"/>
          <w:i w:val="false"/>
          <w:sz w:val="20"/>
        </w:rPr>
        <w:t>发言人1 答：光模块和整个光连接产品在大客户的资本开支中的占比正在不断加快提升。从以往的不到5%增长到现在的更高比例，主要是由于产品技术迭代加速，比如800G到16T的快速部署，以及后续更高速率产品的推出。在数据中心、楼宇和园区互联等方面，将会有大量新型光连接产品如NPO、SPO以及更高带宽的互联产品出现，进一步提升光在整体资本开支中的占比。</w:t>
      </w:r>
    </w:p>
    <w:p>
      <w:r>
        <w:rPr>
          <w:rFonts w:ascii="等线(中文正文)" w:hAnsi="等线(中文正文)" w:cs="等线(中文正文)" w:eastAsia="等线(中文正文)"/>
          <w:b w:val="false"/>
          <w:i w:val="false"/>
          <w:sz w:val="20"/>
        </w:rPr>
        <w:t/>
      </w:r>
    </w:p>
    <w:p>
      <w:pPr>
        <w:pStyle w:val="ab"/>
      </w:pPr>
      <w:r>
        <w:t>发言人1 问：在800G的增长中，是否存在以单波200G为基础的800G产品，它们的毛利率和门槛如何？</w:t>
      </w:r>
    </w:p>
    <w:p>
      <w:r>
        <w:rPr>
          <w:rFonts w:ascii="等线(中文正文)" w:hAnsi="等线(中文正文)" w:cs="等线(中文正文)" w:eastAsia="等线(中文正文)"/>
          <w:b w:val="false"/>
          <w:i w:val="false"/>
          <w:sz w:val="20"/>
        </w:rPr>
        <w:t>发言人1 答：确实有单波200G的产品规格，技术含量会更高。基于单波200G技术用在800G上相当于4乘200G。目前八通路（八层单波100G）的应用量较大，但4乘200G的产品也在日趋成熟，并且出货量已经很多，其价格和毛利各方面都显著好于8乘100G的产品。</w:t>
      </w:r>
    </w:p>
    <w:p>
      <w:r>
        <w:rPr>
          <w:rFonts w:ascii="等线(中文正文)" w:hAnsi="等线(中文正文)" w:cs="等线(中文正文)" w:eastAsia="等线(中文正文)"/>
          <w:b w:val="false"/>
          <w:i w:val="false"/>
          <w:sz w:val="20"/>
        </w:rPr>
        <w:t/>
      </w:r>
    </w:p>
    <w:p>
      <w:pPr>
        <w:pStyle w:val="ab"/>
      </w:pPr>
      <w:r>
        <w:t>发言人1 问：对于机柜内部，从2017年到2028年单波200G速率的角度，是否存在用光去替代其他部分的确定趋势和节点？</w:t>
      </w:r>
    </w:p>
    <w:p>
      <w:r>
        <w:rPr>
          <w:rFonts w:ascii="等线(中文正文)" w:hAnsi="等线(中文正文)" w:cs="等线(中文正文)" w:eastAsia="等线(中文正文)"/>
          <w:b w:val="false"/>
          <w:i w:val="false"/>
          <w:sz w:val="20"/>
        </w:rPr>
        <w:t>发言人1 答：在柜内的部分目前还没有看到快速替换为光模块的预期，可能需要更长的时间来观察这一变化。</w:t>
      </w:r>
    </w:p>
    <w:p>
      <w:r>
        <w:rPr>
          <w:rFonts w:ascii="等线(中文正文)" w:hAnsi="等线(中文正文)" w:cs="等线(中文正文)" w:eastAsia="等线(中文正文)"/>
          <w:b w:val="false"/>
          <w:i w:val="false"/>
          <w:sz w:val="20"/>
        </w:rPr>
        <w:t/>
      </w:r>
    </w:p>
    <w:p>
      <w:pPr>
        <w:pStyle w:val="ab"/>
      </w:pPr>
      <w:r>
        <w:t>发言人1 问：随着国内800G及更大容量需求的兴起，公司在国内市场有何拓展规划？这部分利润是否会逐渐向海外高端产品靠拢？</w:t>
      </w:r>
    </w:p>
    <w:p>
      <w:r>
        <w:rPr>
          <w:rFonts w:ascii="等线(中文正文)" w:hAnsi="等线(中文正文)" w:cs="等线(中文正文)" w:eastAsia="等线(中文正文)"/>
          <w:b w:val="false"/>
          <w:i w:val="false"/>
          <w:sz w:val="20"/>
        </w:rPr>
        <w:t>发言人1 答：国内市场确实在快速发展，对光连接产品的需求也在提升。公司会根据客户建设规划匹配供应，未来几年会看到800G、400G以及NPO等产品在国内市场的出现，整体价格区间ASP也将随之走高。虽然与海外市场存在价格差异，但目前国内市场仍在线上发展阶段，这种价格差异是正常的。</w:t>
      </w:r>
    </w:p>
    <w:p>
      <w:r>
        <w:rPr>
          <w:rFonts w:ascii="等线(中文正文)" w:hAnsi="等线(中文正文)" w:cs="等线(中文正文)" w:eastAsia="等线(中文正文)"/>
          <w:b w:val="false"/>
          <w:i w:val="false"/>
          <w:sz w:val="20"/>
        </w:rPr>
        <w:t/>
      </w:r>
    </w:p>
    <w:p>
      <w:pPr>
        <w:pStyle w:val="ab"/>
      </w:pPr>
      <w:r>
        <w:t>发言人1 问：在2027年的需求中，sell up这个需求占比大概估估下来可能有多大？</w:t>
      </w:r>
    </w:p>
    <w:p>
      <w:r>
        <w:rPr>
          <w:rFonts w:ascii="等线(中文正文)" w:hAnsi="等线(中文正文)" w:cs="等线(中文正文)" w:eastAsia="等线(中文正文)"/>
          <w:b w:val="false"/>
          <w:i w:val="false"/>
          <w:sz w:val="20"/>
        </w:rPr>
        <w:t>发言人1 答：我无法给出量化数据。但可以确认的是，从2027年下半年开始，至少有两个具有影响力的行业客户会批量采购NNPO的产品，真正的大规模上量将在2028年。此外，还有更多CSP客户、大模型公司和云服务提供商对NPO方案感兴趣，并将在今年到明年期间陆续导入这些产品。我们坚信NPO将成为未来光源领域的主流产品，其放量过程类似2016年至2026年的增长情况。</w:t>
      </w:r>
    </w:p>
    <w:p>
      <w:r>
        <w:rPr>
          <w:rFonts w:ascii="等线(中文正文)" w:hAnsi="等线(中文正文)" w:cs="等线(中文正文)" w:eastAsia="等线(中文正文)"/>
          <w:b w:val="false"/>
          <w:i w:val="false"/>
          <w:sz w:val="20"/>
        </w:rPr>
        <w:t/>
      </w:r>
    </w:p>
    <w:p>
      <w:pPr>
        <w:pStyle w:val="ab"/>
      </w:pPr>
      <w:r>
        <w:t>发言人1 问：NPO在scale up领域的增长是如何分阶段的？</w:t>
      </w:r>
    </w:p>
    <w:p>
      <w:r>
        <w:rPr>
          <w:rFonts w:ascii="等线(中文正文)" w:hAnsi="等线(中文正文)" w:cs="等线(中文正文)" w:eastAsia="等线(中文正文)"/>
          <w:b w:val="false"/>
          <w:i w:val="false"/>
          <w:sz w:val="20"/>
        </w:rPr>
        <w:t>发言人1 答：NPO也有一个分阶段的过程，初期有头部行业的重要公司率先采用，随后更多客户将跟进，最终成为scale up领域的主流方案。</w:t>
      </w:r>
    </w:p>
    <w:p>
      <w:r>
        <w:rPr>
          <w:rFonts w:ascii="等线(中文正文)" w:hAnsi="等线(中文正文)" w:cs="等线(中文正文)" w:eastAsia="等线(中文正文)"/>
          <w:b w:val="false"/>
          <w:i w:val="false"/>
          <w:sz w:val="20"/>
        </w:rPr>
        <w:t/>
      </w:r>
    </w:p>
    <w:p>
      <w:pPr>
        <w:pStyle w:val="ab"/>
      </w:pPr>
      <w:r>
        <w:t>发言人1 问：现在组网架构中GPU与光模块的比例是否有所变化？</w:t>
      </w:r>
    </w:p>
    <w:p>
      <w:r>
        <w:rPr>
          <w:rFonts w:ascii="等线(中文正文)" w:hAnsi="等线(中文正文)" w:cs="等线(中文正文)" w:eastAsia="等线(中文正文)"/>
          <w:b w:val="false"/>
          <w:i w:val="false"/>
          <w:sz w:val="20"/>
        </w:rPr>
        <w:t>发言人1 答：是的，组网架构中GPU与光模块的比例确实在上升。由于AI集群规模变大，需要承载更多数据流量，导致从芯片到服务器机柜以及扩展网络的连接需求增加，进而使得光模块的数量也大幅增长，网络架构整体规模扩大。</w:t>
      </w:r>
    </w:p>
    <w:p>
      <w:r>
        <w:rPr>
          <w:rFonts w:ascii="等线(中文正文)" w:hAnsi="等线(中文正文)" w:cs="等线(中文正文)" w:eastAsia="等线(中文正文)"/>
          <w:b w:val="false"/>
          <w:i w:val="false"/>
          <w:sz w:val="20"/>
        </w:rPr>
        <w:t/>
      </w:r>
    </w:p>
    <w:p>
      <w:pPr>
        <w:pStyle w:val="ab"/>
      </w:pPr>
      <w:r>
        <w:t>发言人1 问：对于2027年的订单量，是直接得到CSP需求总量还是根据订单量反推市场总量？</w:t>
      </w:r>
    </w:p>
    <w:p>
      <w:r>
        <w:rPr>
          <w:rFonts w:ascii="等线(中文正文)" w:hAnsi="等线(中文正文)" w:cs="等线(中文正文)" w:eastAsia="等线(中文正文)"/>
          <w:b w:val="false"/>
          <w:i w:val="false"/>
          <w:sz w:val="20"/>
        </w:rPr>
        <w:t>发言人1 答：有些客户会提供需求总量和份额信息，有些客户只会提供份额和分配的具体数量，我们根据历史数据和市场份额计算出市场的总量规模。</w:t>
      </w:r>
    </w:p>
    <w:p>
      <w:r>
        <w:rPr>
          <w:rFonts w:ascii="等线(中文正文)" w:hAnsi="等线(中文正文)" w:cs="等线(中文正文)" w:eastAsia="等线(中文正文)"/>
          <w:b w:val="false"/>
          <w:i w:val="false"/>
          <w:sz w:val="20"/>
        </w:rPr>
        <w:t/>
      </w:r>
    </w:p>
    <w:p>
      <w:pPr>
        <w:pStyle w:val="ab"/>
      </w:pPr>
      <w:r>
        <w:t>发言人1 问：关于当前市场行情，公司有何看法？</w:t>
      </w:r>
    </w:p>
    <w:p>
      <w:r>
        <w:rPr>
          <w:rFonts w:ascii="等线(中文正文)" w:hAnsi="等线(中文正文)" w:cs="等线(中文正文)" w:eastAsia="等线(中文正文)"/>
          <w:b w:val="false"/>
          <w:i w:val="false"/>
          <w:sz w:val="20"/>
        </w:rPr>
        <w:t>发言人1 答：在当前市场环境下，通过充分沟通交流，大家能够更好地判断行业健康状况和竞争格局。对于市场传言，希望投资者主动与我们交流了解真实情况，避免误解。尽管短期情绪可能会担忧或恐慌，但我们坚信行业依然健康并持续发展，客户的资本开支也保持持续状态。</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2026-07-29T00:14:06Z</dcterms:created>
  <dc:creator>Apache POI</dc:creator>
</cp:coreProperties>
</file>