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东兴证券 总量专场 - 2026年度中期策略会 260701_导读</w:t>
      </w:r>
    </w:p>
    <w:p>
      <w:pPr>
        <w:pStyle w:val="a0"/>
        <w:jc w:val="center"/>
      </w:pPr>
      <w:r>
        <w:t>2026年07月01日 22:27</w:t>
      </w:r>
    </w:p>
    <w:p>
      <w:pPr>
        <w:pStyle w:val="a7"/>
      </w:pPr>
      <w:r>
        <w:t>关键词</w:t>
      </w:r>
    </w:p>
    <w:p>
      <w:r>
        <w:rPr>
          <w:rFonts w:ascii="等线(中文正文)" w:hAnsi="等线(中文正文)" w:cs="等线(中文正文)" w:eastAsia="等线(中文正文)"/>
          <w:b w:val="false"/>
          <w:i w:val="false"/>
          <w:sz w:val="20"/>
        </w:rPr>
        <w:t xml:space="preserve">美联储 能源冲击 降息 通胀 缩表 消费 美国经济 景气度 加息 全球宏观 失业率 服务业 制造业 关税 收入同比 核心通胀 美元指数 黄金 消费动能 收入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东兴证券总量专场2026年度中期策略会集中讨论了全球经济及资本市场面临的挑战与机遇。银行板块讨论强调了信贷结构、直接融资、债券融资对信贷增长的影响，以及非信贷资产投资收益的到期再配置对盈利的潜在影响。特别指出手续费和佣金净收入的增长，资产质量讨论了不良贷款率的稳定性与关注贷款率的上升。证券行业分析了市场表现、政策环境、业务板块表现，强调了头部券商的业绩增长和市场活跃度的提升。会议强调了全球经济的两大关键变数为能源冲击的回落和美联储货币政策的走向，全球宏观经济预期在下半年将呈现前高后低的走势，需警惕经济衰退的风险。报告认为，尽管短期内市场可能面临波动，但中长期保持积极态度，特别是对于科技股，认为其作为全球产业革命的核心将继续受到市场关注。同时，银行板块基本面稳健，预计营收和利润将持续改善，特别强调了对优质银行股的看好，认为银行股具有较好的配置价值。最后，策略分析师强调了对科技股作为长期投资方向的坚定信心，建议投资者重点关注以人工智能（AI）为代表的科技创新领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东兴证券总量专场中期策略会声明</w:t>
      </w:r>
    </w:p>
    <w:p>
      <w:r>
        <w:rPr>
          <w:rFonts w:ascii="等线(中文正文)" w:hAnsi="等线(中文正文)" w:cs="等线(中文正文)" w:eastAsia="等线(中文正文)"/>
          <w:b w:val="false"/>
          <w:i w:val="false"/>
          <w:sz w:val="20"/>
        </w:rPr>
        <w:t>会议面向东兴证券研究所白名单客户，声明嘉宾观点仅代表个人观点，不构成投资建议，禁止录音、制作纪要及传播，违规者将追究法律责任。</w:t>
      </w:r>
    </w:p>
    <w:p>
      <w:r>
        <w:rPr>
          <w:rFonts w:ascii="等线(中文正文)" w:hAnsi="等线(中文正文)" w:cs="等线(中文正文)" w:eastAsia="等线(中文正文)"/>
          <w:b w:val="false"/>
          <w:i w:val="false"/>
          <w:sz w:val="20"/>
        </w:rPr>
        <w:t/>
      </w:r>
    </w:p>
    <w:p>
      <w:pPr>
        <w:pStyle w:val="ab"/>
        <w:numPr>
          <w:numId w:val="2"/>
        </w:numPr>
      </w:pPr>
      <w:r>
        <w:t>00:33 下半年全球宏观展望：能源价格回落与美联储政策转向</w:t>
      </w:r>
    </w:p>
    <w:p>
      <w:r>
        <w:rPr>
          <w:rFonts w:ascii="等线(中文正文)" w:hAnsi="等线(中文正文)" w:cs="等线(中文正文)" w:eastAsia="等线(中文正文)"/>
          <w:b w:val="false"/>
          <w:i w:val="false"/>
          <w:sz w:val="20"/>
        </w:rPr>
        <w:t>下半年全球宏观环境面临能源价格回落与美联储政策转向两大变数。随着能源冲击减弱，全球景气度有望前低后高，经济不陷入衰退。美国消费动能回升，AI投资支撑经济增长。通胀压力短期缓解，美联储基准情景为不加息，但缩表可能成为新变量。资本市场对缩表反应中性，美元走强暂停黄金长期涨势。</w:t>
      </w:r>
    </w:p>
    <w:p>
      <w:r>
        <w:rPr>
          <w:rFonts w:ascii="等线(中文正文)" w:hAnsi="等线(中文正文)" w:cs="等线(中文正文)" w:eastAsia="等线(中文正文)"/>
          <w:b w:val="false"/>
          <w:i w:val="false"/>
          <w:sz w:val="20"/>
        </w:rPr>
        <w:t/>
      </w:r>
    </w:p>
    <w:p>
      <w:pPr>
        <w:pStyle w:val="ab"/>
        <w:numPr>
          <w:numId w:val="3"/>
        </w:numPr>
      </w:pPr>
      <w:r>
        <w:t>04:33 上半年发达国家经济与通胀状况分析</w:t>
      </w:r>
    </w:p>
    <w:p>
      <w:r>
        <w:rPr>
          <w:rFonts w:ascii="等线(中文正文)" w:hAnsi="等线(中文正文)" w:cs="等线(中文正文)" w:eastAsia="等线(中文正文)"/>
          <w:b w:val="false"/>
          <w:i w:val="false"/>
          <w:sz w:val="20"/>
        </w:rPr>
        <w:t>上半年，多数发达国家经济呈现低速增长，德国和法国GDP得益于出口回升，但内需疲软。英国和日本通过能源补贴缓解通胀压力，加拿大因移民控制导致GDP下滑。美伊冲突影响下，澳大利亚暂停加息，欧盟和日本选择加息应对通胀，但可能对下半年经济造成短期压制。</w:t>
      </w:r>
    </w:p>
    <w:p>
      <w:r>
        <w:rPr>
          <w:rFonts w:ascii="等线(中文正文)" w:hAnsi="等线(中文正文)" w:cs="等线(中文正文)" w:eastAsia="等线(中文正文)"/>
          <w:b w:val="false"/>
          <w:i w:val="false"/>
          <w:sz w:val="20"/>
        </w:rPr>
        <w:t/>
      </w:r>
    </w:p>
    <w:p>
      <w:pPr>
        <w:pStyle w:val="ab"/>
        <w:numPr>
          <w:numId w:val="4"/>
        </w:numPr>
      </w:pPr>
      <w:r>
        <w:t>08:07 全球景气度变化与各国央行政策动态</w:t>
      </w:r>
    </w:p>
    <w:p>
      <w:r>
        <w:rPr>
          <w:rFonts w:ascii="等线(中文正文)" w:hAnsi="等线(中文正文)" w:cs="等线(中文正文)" w:eastAsia="等线(中文正文)"/>
          <w:b w:val="false"/>
          <w:i w:val="false"/>
          <w:sz w:val="20"/>
        </w:rPr>
        <w:t>对话讨论了全球主要经济体的景气度变化及央行货币政策。指出发达国家整体经济先低后回升，美国经济受AI拉动表现稳健，但高收入人群收入下滑引发关注。欧洲央行态度激进，但核心国家经济状况支持加息力度有限。美意冲突影响服务业，但不确定性下降利好全球预期。下半年全球经济景气度预计前低后高，未出现衰退迹象。</w:t>
      </w:r>
    </w:p>
    <w:p>
      <w:r>
        <w:rPr>
          <w:rFonts w:ascii="等线(中文正文)" w:hAnsi="等线(中文正文)" w:cs="等线(中文正文)" w:eastAsia="等线(中文正文)"/>
          <w:b w:val="false"/>
          <w:i w:val="false"/>
          <w:sz w:val="20"/>
        </w:rPr>
        <w:t/>
      </w:r>
    </w:p>
    <w:p>
      <w:pPr>
        <w:pStyle w:val="ab"/>
        <w:numPr>
          <w:numId w:val="5"/>
        </w:numPr>
      </w:pPr>
      <w:r>
        <w:t>11:37 美国经济现状与未来趋势分析</w:t>
      </w:r>
    </w:p>
    <w:p>
      <w:r>
        <w:rPr>
          <w:rFonts w:ascii="等线(中文正文)" w:hAnsi="等线(中文正文)" w:cs="等线(中文正文)" w:eastAsia="等线(中文正文)"/>
          <w:b w:val="false"/>
          <w:i w:val="false"/>
          <w:sz w:val="20"/>
        </w:rPr>
        <w:t>对话深入探讨了美国经济的多个方面，包括消费、投资、通胀和劳动力市场。消费动能略低于去年，但优于上半年，主要受收入增速下降影响，尤其是高收入人群。投资方面，AI成为独立引擎，拉动经济增长。劳动力市场流动性略有好转，建筑和制造业就业连续增长。原油价格回落预计缓解通胀压力，支撑下半年消费。美联储主席偏好缩表，货币政策预期改变影响美股走势。</w:t>
      </w:r>
    </w:p>
    <w:p>
      <w:r>
        <w:rPr>
          <w:rFonts w:ascii="等线(中文正文)" w:hAnsi="等线(中文正文)" w:cs="等线(中文正文)" w:eastAsia="等线(中文正文)"/>
          <w:b w:val="false"/>
          <w:i w:val="false"/>
          <w:sz w:val="20"/>
        </w:rPr>
        <w:t/>
      </w:r>
    </w:p>
    <w:p>
      <w:pPr>
        <w:pStyle w:val="ab"/>
        <w:numPr>
          <w:numId w:val="6"/>
        </w:numPr>
      </w:pPr>
      <w:r>
        <w:t>14:56 AI投资对美国经济影响及东亚外溢效应分析</w:t>
      </w:r>
    </w:p>
    <w:p>
      <w:r>
        <w:rPr>
          <w:rFonts w:ascii="等线(中文正文)" w:hAnsi="等线(中文正文)" w:cs="等线(中文正文)" w:eastAsia="等线(中文正文)"/>
          <w:b w:val="false"/>
          <w:i w:val="false"/>
          <w:sz w:val="20"/>
        </w:rPr>
        <w:t>讨论了AI投资在物理基建上的长期性，指出其对美国经济拉动不明显的原因在于制造业空心化，半导体设备依赖东亚地区，导致就业影响有限。尽管存在外溢效应，但主要集中在东亚。宏观层面，企业盈利增长，贷款增速略有反弹但整体低位，与90年代末企业盈利下降形成对比，当前企业盈利与股市表现相匹配，未出现明显背离。AI相关企业开始使用债券融资，但宏观层面未见负债投资过热迹象。</w:t>
      </w:r>
    </w:p>
    <w:p>
      <w:r>
        <w:rPr>
          <w:rFonts w:ascii="等线(中文正文)" w:hAnsi="等线(中文正文)" w:cs="等线(中文正文)" w:eastAsia="等线(中文正文)"/>
          <w:b w:val="false"/>
          <w:i w:val="false"/>
          <w:sz w:val="20"/>
        </w:rPr>
        <w:t/>
      </w:r>
    </w:p>
    <w:p>
      <w:pPr>
        <w:pStyle w:val="ab"/>
        <w:numPr>
          <w:numId w:val="7"/>
        </w:numPr>
      </w:pPr>
      <w:r>
        <w:t>18:46 通胀与就业：财政政策与货币政策的互动影响</w:t>
      </w:r>
    </w:p>
    <w:p>
      <w:r>
        <w:rPr>
          <w:rFonts w:ascii="等线(中文正文)" w:hAnsi="等线(中文正文)" w:cs="等线(中文正文)" w:eastAsia="等线(中文正文)"/>
          <w:b w:val="false"/>
          <w:i w:val="false"/>
          <w:sz w:val="20"/>
        </w:rPr>
        <w:t>讨论了市场边际好转迹象，财政政策偏宽松但需控制通胀预期。通胀权重高于就业，中短期通胀乐观，能源价格回落未扩散至核心通胀。财政法案影响经济需较长时间，预计四季度后与货币政策共振。通胀受多种宏观因素影响，经济基本面和政策节奏决定通胀趋势。</w:t>
      </w:r>
    </w:p>
    <w:p>
      <w:r>
        <w:rPr>
          <w:rFonts w:ascii="等线(中文正文)" w:hAnsi="等线(中文正文)" w:cs="等线(中文正文)" w:eastAsia="等线(中文正文)"/>
          <w:b w:val="false"/>
          <w:i w:val="false"/>
          <w:sz w:val="20"/>
        </w:rPr>
        <w:t/>
      </w:r>
    </w:p>
    <w:p>
      <w:pPr>
        <w:pStyle w:val="ab"/>
        <w:numPr>
          <w:numId w:val="8"/>
        </w:numPr>
      </w:pPr>
      <w:r>
        <w:t>22:27 消费动能与货币政策展望</w:t>
      </w:r>
    </w:p>
    <w:p>
      <w:r>
        <w:rPr>
          <w:rFonts w:ascii="等线(中文正文)" w:hAnsi="等线(中文正文)" w:cs="等线(中文正文)" w:eastAsia="等线(中文正文)"/>
          <w:b w:val="false"/>
          <w:i w:val="false"/>
          <w:sz w:val="20"/>
        </w:rPr>
        <w:t>分析显示消费动能较去年下降但优于上半年，收入增速尤其是高收入群体下降，总需求疲软。预计油价回落仍存通胀压力，货币政策不加息但可能缩表，市场对缩表反应取决于节奏和沟通方式，美债上限维持4.5至4.7，有效谈判或下移至4.5。</w:t>
      </w:r>
    </w:p>
    <w:p>
      <w:r>
        <w:rPr>
          <w:rFonts w:ascii="等线(中文正文)" w:hAnsi="等线(中文正文)" w:cs="等线(中文正文)" w:eastAsia="等线(中文正文)"/>
          <w:b w:val="false"/>
          <w:i w:val="false"/>
          <w:sz w:val="20"/>
        </w:rPr>
        <w:t/>
      </w:r>
    </w:p>
    <w:p>
      <w:pPr>
        <w:pStyle w:val="ab"/>
        <w:numPr>
          <w:numId w:val="9"/>
        </w:numPr>
      </w:pPr>
      <w:r>
        <w:t>24:36 美股与黄金下半年策略展望</w:t>
      </w:r>
    </w:p>
    <w:p>
      <w:r>
        <w:rPr>
          <w:rFonts w:ascii="等线(中文正文)" w:hAnsi="等线(中文正文)" w:cs="等线(中文正文)" w:eastAsia="等线(中文正文)"/>
          <w:b w:val="false"/>
          <w:i w:val="false"/>
          <w:sz w:val="20"/>
        </w:rPr>
        <w:t>对话分析了美股在中短期的震荡预期与中长期的中性偏积极态度，指出标普500指数接近2000年高点，但经济衰退非基本情景。对于黄金，短期内可能暂停长期涨势，但若美联储未大幅加息，长期趋势未破。</w:t>
      </w:r>
    </w:p>
    <w:p>
      <w:r>
        <w:rPr>
          <w:rFonts w:ascii="等线(中文正文)" w:hAnsi="等线(中文正文)" w:cs="等线(中文正文)" w:eastAsia="等线(中文正文)"/>
          <w:b w:val="false"/>
          <w:i w:val="false"/>
          <w:sz w:val="20"/>
        </w:rPr>
        <w:t/>
      </w:r>
    </w:p>
    <w:p>
      <w:pPr>
        <w:pStyle w:val="ab"/>
        <w:numPr>
          <w:numId w:val="10"/>
        </w:numPr>
      </w:pPr>
      <w:r>
        <w:t>26:06 2026年下半年市场K型走势及科技主线分析</w:t>
      </w:r>
    </w:p>
    <w:p>
      <w:r>
        <w:rPr>
          <w:rFonts w:ascii="等线(中文正文)" w:hAnsi="等线(中文正文)" w:cs="等线(中文正文)" w:eastAsia="等线(中文正文)"/>
          <w:b w:val="false"/>
          <w:i w:val="false"/>
          <w:sz w:val="20"/>
        </w:rPr>
        <w:t>市场预计将呈现K型走势，科技股为核心主线。上半年市场结构性行情显著，科技股涨幅远超传统板块，资金集中于科技方向。中国经济K型复苏影响市场分化，科技领域表现优异，基本面支撑明显。</w:t>
      </w:r>
    </w:p>
    <w:p>
      <w:r>
        <w:rPr>
          <w:rFonts w:ascii="等线(中文正文)" w:hAnsi="等线(中文正文)" w:cs="等线(中文正文)" w:eastAsia="等线(中文正文)"/>
          <w:b w:val="false"/>
          <w:i w:val="false"/>
          <w:sz w:val="20"/>
        </w:rPr>
        <w:t/>
      </w:r>
    </w:p>
    <w:p>
      <w:pPr>
        <w:pStyle w:val="ab"/>
        <w:numPr>
          <w:numId w:val="11"/>
        </w:numPr>
      </w:pPr>
      <w:r>
        <w:t>30:20 新旧动能转换下的经济分化与未来展望</w:t>
      </w:r>
    </w:p>
    <w:p>
      <w:r>
        <w:rPr>
          <w:rFonts w:ascii="等线(中文正文)" w:hAnsi="等线(中文正文)" w:cs="等线(中文正文)" w:eastAsia="等线(中文正文)"/>
          <w:b w:val="false"/>
          <w:i w:val="false"/>
          <w:sz w:val="20"/>
        </w:rPr>
        <w:t>对话讨论了新旧动能转换背景下经济的结构性变化，指出以AI产业为代表的新动能虽发展迅猛，但对就业和居民收入的带动效应低于传统产业，导致内需持续走弱。未来经济走向可能呈现K型分化，最优路径需政策干预实现新旧经济均衡发展，避免社会两极分化，当前状态可能为温和K型分化，伴随新经济内部调整与转型。</w:t>
      </w:r>
    </w:p>
    <w:p>
      <w:r>
        <w:rPr>
          <w:rFonts w:ascii="等线(中文正文)" w:hAnsi="等线(中文正文)" w:cs="等线(中文正文)" w:eastAsia="等线(中文正文)"/>
          <w:b w:val="false"/>
          <w:i w:val="false"/>
          <w:sz w:val="20"/>
        </w:rPr>
        <w:t/>
      </w:r>
    </w:p>
    <w:p>
      <w:pPr>
        <w:pStyle w:val="ab"/>
        <w:numPr>
          <w:numId w:val="12"/>
        </w:numPr>
      </w:pPr>
      <w:r>
        <w:t>34:31 科技板块行情回顾与当前走势分析</w:t>
      </w:r>
    </w:p>
    <w:p>
      <w:r>
        <w:rPr>
          <w:rFonts w:ascii="等线(中文正文)" w:hAnsi="等线(中文正文)" w:cs="等线(中文正文)" w:eastAsia="等线(中文正文)"/>
          <w:b w:val="false"/>
          <w:i w:val="false"/>
          <w:sz w:val="20"/>
        </w:rPr>
        <w:t>通过对2013-2015年移动互联网、2016-2018年消费电子、2019-2021年半导体国产替代三轮科技板块行情的复盘，总结出这些行情普遍周期短、估值泡沫明显、产业天花板低等特点。当前行情则展现出不同，它基于全球技术革命，实现了从预期炒作到硬核业绩兑现的转变，且在政策、产业资本和国内政策落地等方面形成共振，标志着一个全新的产业结构调整和升级。</w:t>
      </w:r>
    </w:p>
    <w:p>
      <w:r>
        <w:rPr>
          <w:rFonts w:ascii="等线(中文正文)" w:hAnsi="等线(中文正文)" w:cs="等线(中文正文)" w:eastAsia="等线(中文正文)"/>
          <w:b w:val="false"/>
          <w:i w:val="false"/>
          <w:sz w:val="20"/>
        </w:rPr>
        <w:t/>
      </w:r>
    </w:p>
    <w:p>
      <w:pPr>
        <w:pStyle w:val="ab"/>
        <w:numPr>
          <w:numId w:val="13"/>
        </w:numPr>
      </w:pPr>
      <w:r>
        <w:t>38:18 全球AI资本扩张与硬件景气周期分析</w:t>
      </w:r>
    </w:p>
    <w:p>
      <w:r>
        <w:rPr>
          <w:rFonts w:ascii="等线(中文正文)" w:hAnsi="等线(中文正文)" w:cs="等线(中文正文)" w:eastAsia="等线(中文正文)"/>
          <w:b w:val="false"/>
          <w:i w:val="false"/>
          <w:sz w:val="20"/>
        </w:rPr>
        <w:t>对话讨论了全球AI资本进入超级扩张周期，推动硬件景气周期确立，预计持续至2028年。与以往科技股不同，本轮行情基于指数级增长的算力需求，涉及北美云厂商、日韩先进制程扩产及国内国产替代，形成全球共振。此外，资本开支从国内单一驱动转变为全球共振扩张，周期从传统3-4年的库存周期延长至10-20个季度的超级长周期，打破消费电子终端需求限制，实现行业变革。</w:t>
      </w:r>
    </w:p>
    <w:p>
      <w:r>
        <w:rPr>
          <w:rFonts w:ascii="等线(中文正文)" w:hAnsi="等线(中文正文)" w:cs="等线(中文正文)" w:eastAsia="等线(中文正文)"/>
          <w:b w:val="false"/>
          <w:i w:val="false"/>
          <w:sz w:val="20"/>
        </w:rPr>
        <w:t/>
      </w:r>
    </w:p>
    <w:p>
      <w:pPr>
        <w:pStyle w:val="ab"/>
        <w:numPr>
          <w:numId w:val="14"/>
        </w:numPr>
      </w:pPr>
      <w:r>
        <w:t>44:25 AI引领科技行情与资产配置策略</w:t>
      </w:r>
    </w:p>
    <w:p>
      <w:r>
        <w:rPr>
          <w:rFonts w:ascii="等线(中文正文)" w:hAnsi="等线(中文正文)" w:cs="等线(中文正文)" w:eastAsia="等线(中文正文)"/>
          <w:b w:val="false"/>
          <w:i w:val="false"/>
          <w:sz w:val="20"/>
        </w:rPr>
        <w:t>核心观点认为AI引领的科技行情将成为常态，重塑经济体系，科技股权重将超过金融，成为市场核心力量。未来市场应重点布局AI、半导体等方向，传统行业将逐渐边缘化。资产配置上，科技股弹性大，收益潜力高，而高股息的非科技股可作为辅助配置。科技行情将持续至2028年，市场空间广阔，波动不会改变长期趋势。</w:t>
      </w:r>
    </w:p>
    <w:p>
      <w:r>
        <w:rPr>
          <w:rFonts w:ascii="等线(中文正文)" w:hAnsi="等线(中文正文)" w:cs="等线(中文正文)" w:eastAsia="等线(中文正文)"/>
          <w:b w:val="false"/>
          <w:i w:val="false"/>
          <w:sz w:val="20"/>
        </w:rPr>
        <w:t/>
      </w:r>
    </w:p>
    <w:p>
      <w:pPr>
        <w:pStyle w:val="ab"/>
        <w:numPr>
          <w:numId w:val="15"/>
        </w:numPr>
      </w:pPr>
      <w:r>
        <w:t>49:12 银行行业中期策略：营收改善与资金面支撑</w:t>
      </w:r>
    </w:p>
    <w:p>
      <w:r>
        <w:rPr>
          <w:rFonts w:ascii="等线(中文正文)" w:hAnsi="等线(中文正文)" w:cs="等线(中文正文)" w:eastAsia="等线(中文正文)"/>
          <w:b w:val="false"/>
          <w:i w:val="false"/>
          <w:sz w:val="20"/>
        </w:rPr>
        <w:t>报告分析了银行行业基本面与资金面，指出银行估值处于历史低位，一季度业绩改善明显，特别是净息差企稳对营收有积极支撑。资金面方面，险资增配银行股，而被动基金和北向资金持续减持。整体来看，银行板块虽受实体融资需求弱影响，但在市场波动时展现出防御价值，城商行表现相对突出。</w:t>
      </w:r>
    </w:p>
    <w:p>
      <w:r>
        <w:rPr>
          <w:rFonts w:ascii="等线(中文正文)" w:hAnsi="等线(中文正文)" w:cs="等线(中文正文)" w:eastAsia="等线(中文正文)"/>
          <w:b w:val="false"/>
          <w:i w:val="false"/>
          <w:sz w:val="20"/>
        </w:rPr>
        <w:t/>
      </w:r>
    </w:p>
    <w:p>
      <w:pPr>
        <w:pStyle w:val="ab"/>
        <w:numPr>
          <w:numId w:val="16"/>
        </w:numPr>
      </w:pPr>
      <w:r>
        <w:t>54:01 2026年一季度银行营收与利润分析</w:t>
      </w:r>
    </w:p>
    <w:p>
      <w:r>
        <w:rPr>
          <w:rFonts w:ascii="等线(中文正文)" w:hAnsi="等线(中文正文)" w:cs="等线(中文正文)" w:eastAsia="等线(中文正文)"/>
          <w:b w:val="false"/>
          <w:i w:val="false"/>
          <w:sz w:val="20"/>
        </w:rPr>
        <w:t>一季度上市银行营收改善，利润平稳，城商行表现突出。经济结构变化导致信贷增速放缓，投资类资产增速较高，预计2026年信贷增速将维持在5.6%-6%左右，银行生息资产增速平稳。零售部门信贷增长疲软，企业端中长贷增长不强，对公信贷投放结构可能受益于政府发力。</w:t>
      </w:r>
    </w:p>
    <w:p>
      <w:r>
        <w:rPr>
          <w:rFonts w:ascii="等线(中文正文)" w:hAnsi="等线(中文正文)" w:cs="等线(中文正文)" w:eastAsia="等线(中文正文)"/>
          <w:b w:val="false"/>
          <w:i w:val="false"/>
          <w:sz w:val="20"/>
        </w:rPr>
        <w:t/>
      </w:r>
    </w:p>
    <w:p>
      <w:pPr>
        <w:pStyle w:val="ab"/>
        <w:numPr>
          <w:numId w:val="17"/>
        </w:numPr>
      </w:pPr>
      <w:r>
        <w:t>59:27 银行信贷与负债端结构变化分析</w:t>
      </w:r>
    </w:p>
    <w:p>
      <w:r>
        <w:rPr>
          <w:rFonts w:ascii="等线(中文正文)" w:hAnsi="等线(中文正文)" w:cs="等线(中文正文)" w:eastAsia="等线(中文正文)"/>
          <w:b w:val="false"/>
          <w:i w:val="false"/>
          <w:sz w:val="20"/>
        </w:rPr>
        <w:t>对话探讨了不同类型银行的信贷投放情况，指出优质银行在江浙、山东川渝地区信贷投放较弱，城商行信贷增长可能受新证券业务驱动。同时，存款搬家趋势持续，影响银行负债端结构，国有行面临更高信贷投放任务，股份行则通过多元化业务提升存款能力。未来，存贷增速差成为衡量银行负债满足度和规模增长策略的重要指标。</w:t>
      </w:r>
    </w:p>
    <w:p>
      <w:r>
        <w:rPr>
          <w:rFonts w:ascii="等线(中文正文)" w:hAnsi="等线(中文正文)" w:cs="等线(中文正文)" w:eastAsia="等线(中文正文)"/>
          <w:b w:val="false"/>
          <w:i w:val="false"/>
          <w:sz w:val="20"/>
        </w:rPr>
        <w:t/>
      </w:r>
    </w:p>
    <w:p>
      <w:pPr>
        <w:pStyle w:val="ab"/>
        <w:numPr>
          <w:numId w:val="18"/>
        </w:numPr>
      </w:pPr>
      <w:r>
        <w:t>01:03:05 银行业净息差企稳与中收增长展望</w:t>
      </w:r>
    </w:p>
    <w:p>
      <w:r>
        <w:rPr>
          <w:rFonts w:ascii="等线(中文正文)" w:hAnsi="等线(中文正文)" w:cs="等线(中文正文)" w:eastAsia="等线(中文正文)"/>
          <w:b w:val="false"/>
          <w:i w:val="false"/>
          <w:sz w:val="20"/>
        </w:rPr>
        <w:t>对话分析了银行业净息差企稳的原因，指出负债端成本改善及资产端收益率降幅收窄是主要支撑。展望未来，负债端成本改善将持续，资产端需关注信贷结构变化及非信贷资产再配置影响。此外，中收正向贡献盈利，但银行间分化明显，股票市场回暖及存款搬家趋势支撑中收正增长，而其他非息收入增速放缓，债券市场利率低位震荡限制盈利增长。</w:t>
      </w:r>
    </w:p>
    <w:p>
      <w:r>
        <w:rPr>
          <w:rFonts w:ascii="等线(中文正文)" w:hAnsi="等线(中文正文)" w:cs="等线(中文正文)" w:eastAsia="等线(中文正文)"/>
          <w:b w:val="false"/>
          <w:i w:val="false"/>
          <w:sz w:val="20"/>
        </w:rPr>
        <w:t/>
      </w:r>
    </w:p>
    <w:p>
      <w:pPr>
        <w:pStyle w:val="ab"/>
        <w:numPr>
          <w:numId w:val="19"/>
        </w:numPr>
      </w:pPr>
      <w:r>
        <w:t>01:07:46 银行业资产质量与盈利展望分析</w:t>
      </w:r>
    </w:p>
    <w:p>
      <w:r>
        <w:rPr>
          <w:rFonts w:ascii="等线(中文正文)" w:hAnsi="等线(中文正文)" w:cs="等线(中文正文)" w:eastAsia="等线(中文正文)"/>
          <w:b w:val="false"/>
          <w:i w:val="false"/>
          <w:sz w:val="20"/>
        </w:rPr>
        <w:t>对话深入探讨了银行业资产质量现状，指出不良率平稳但关注率上升，尤其零售贷款压力大，信用卡和消费贷款风险需关注。对公贷款质量向好，不良率下降。展望未来，预计2026年银行盈利增速将小幅提升，核心改善因子为息差企稳，中收温和修复，但其他非息收入贡献下降。信用成本方面，拨备支持可能加大以维持盈利增速。建议关注客户基础牢固、综合能力较强的银行，以及国有行和股份行的股息率吸引力。</w:t>
      </w:r>
    </w:p>
    <w:p>
      <w:r>
        <w:rPr>
          <w:rFonts w:ascii="等线(中文正文)" w:hAnsi="等线(中文正文)" w:cs="等线(中文正文)" w:eastAsia="等线(中文正文)"/>
          <w:b w:val="false"/>
          <w:i w:val="false"/>
          <w:sz w:val="20"/>
        </w:rPr>
        <w:t/>
      </w:r>
    </w:p>
    <w:p>
      <w:pPr>
        <w:pStyle w:val="ab"/>
        <w:numPr>
          <w:numId w:val="20"/>
        </w:numPr>
      </w:pPr>
      <w:r>
        <w:t>01:12:22 保险资金加仓银行股，被动资金减持影响分析</w:t>
      </w:r>
    </w:p>
    <w:p>
      <w:r>
        <w:rPr>
          <w:rFonts w:ascii="等线(中文正文)" w:hAnsi="等线(中文正文)" w:cs="等线(中文正文)" w:eastAsia="等线(中文正文)"/>
          <w:b w:val="false"/>
          <w:i w:val="false"/>
          <w:sz w:val="20"/>
        </w:rPr>
        <w:t>一季度保险资金加仓银行股，被动资金如沪深300 ETF减持银行股，影响银行板块表现。尽管如此，保险资金对银行股的配置需求稳定，尤其是对长三角区域的优质城商行。银行股的高股息率和业绩弹性吸引保险资金，预计后续资金流出压力将减弱，银行板块有望迎来估值修复。建议关注资产投放景气度高和业绩弹性大的优质区域中小行，以及国有大行的估值价值。</w:t>
      </w:r>
    </w:p>
    <w:p>
      <w:r>
        <w:rPr>
          <w:rFonts w:ascii="等线(中文正文)" w:hAnsi="等线(中文正文)" w:cs="等线(中文正文)" w:eastAsia="等线(中文正文)"/>
          <w:b w:val="false"/>
          <w:i w:val="false"/>
          <w:sz w:val="20"/>
        </w:rPr>
        <w:t/>
      </w:r>
    </w:p>
    <w:p>
      <w:pPr>
        <w:pStyle w:val="ab"/>
        <w:numPr>
          <w:numId w:val="21"/>
        </w:numPr>
      </w:pPr>
      <w:r>
        <w:t>01:18:39 证券行业中期投资展望：利润兑现与估值修复</w:t>
      </w:r>
    </w:p>
    <w:p>
      <w:r>
        <w:rPr>
          <w:rFonts w:ascii="等线(中文正文)" w:hAnsi="等线(中文正文)" w:cs="等线(中文正文)" w:eastAsia="等线(中文正文)"/>
          <w:b w:val="false"/>
          <w:i w:val="false"/>
          <w:sz w:val="20"/>
        </w:rPr>
        <w:t>报告分析了证券行业上半年表现，指出尽管整体跑输市场宽基指数，但在顺周期板块中表现靠前。上半年市场分化严重，创业板与科创50指数大幅领先沪深300，证券行业承压但部分个股表现优异。政策层面，上半年政策对证券行业直接影响有限，但对科技企业上市融资的支持明确，预示下半年政策有望更加乐观，利好证券行业尤其是投行业务和直投业务的发展。</w:t>
      </w:r>
    </w:p>
    <w:p>
      <w:r>
        <w:rPr>
          <w:rFonts w:ascii="等线(中文正文)" w:hAnsi="等线(中文正文)" w:cs="等线(中文正文)" w:eastAsia="等线(中文正文)"/>
          <w:b w:val="false"/>
          <w:i w:val="false"/>
          <w:sz w:val="20"/>
        </w:rPr>
        <w:t/>
      </w:r>
    </w:p>
    <w:p>
      <w:pPr>
        <w:pStyle w:val="ab"/>
        <w:numPr>
          <w:numId w:val="22"/>
        </w:numPr>
      </w:pPr>
      <w:r>
        <w:t>01:23:32 证券行业创新与政策支持推动业绩改善</w:t>
      </w:r>
    </w:p>
    <w:p>
      <w:r>
        <w:rPr>
          <w:rFonts w:ascii="等线(中文正文)" w:hAnsi="等线(中文正文)" w:cs="等线(中文正文)" w:eastAsia="等线(中文正文)"/>
          <w:b w:val="false"/>
          <w:i w:val="false"/>
          <w:sz w:val="20"/>
        </w:rPr>
        <w:t>对话探讨了证券行业在政策支持下，通过提升杠杆和资本利用效率，推动业绩与估值改善的逻辑。重点分析了财务管理、交易量增长、两融余额上升及公募基金规模扩大等业务板块的积极表现，指出居民资产配置结构调整正向影响资本市场，证券行业受益于资金持续流入，未来财富管理板块有望进一步发展。</w:t>
      </w:r>
    </w:p>
    <w:p>
      <w:r>
        <w:rPr>
          <w:rFonts w:ascii="等线(中文正文)" w:hAnsi="等线(中文正文)" w:cs="等线(中文正文)" w:eastAsia="等线(中文正文)"/>
          <w:b w:val="false"/>
          <w:i w:val="false"/>
          <w:sz w:val="20"/>
        </w:rPr>
        <w:t/>
      </w:r>
    </w:p>
    <w:p>
      <w:pPr>
        <w:pStyle w:val="ab"/>
        <w:numPr>
          <w:numId w:val="23"/>
        </w:numPr>
      </w:pPr>
      <w:r>
        <w:t>01:28:37 券商转型与投资策略：代销金融产品与头部券商的机遇</w:t>
      </w:r>
    </w:p>
    <w:p>
      <w:r>
        <w:rPr>
          <w:rFonts w:ascii="等线(中文正文)" w:hAnsi="等线(中文正文)" w:cs="等线(中文正文)" w:eastAsia="等线(中文正文)"/>
          <w:b w:val="false"/>
          <w:i w:val="false"/>
          <w:sz w:val="20"/>
        </w:rPr>
        <w:t>对话深入探讨了券商在传统经济业务佣金下滑的背景下，通过代销金融产品实现财务管理转型的重要性。同时，分析了投行业务受政策支持的强劲增长，以及自营投资领域中头部券商的优势和策略调整的必要性，强调了对头部券商投资比例的增加和对券商ETF的关注。</w:t>
      </w:r>
    </w:p>
    <w:p>
      <w:r>
        <w:rPr>
          <w:rFonts w:ascii="等线(中文正文)" w:hAnsi="等线(中文正文)" w:cs="等线(中文正文)" w:eastAsia="等线(中文正文)"/>
          <w:b w:val="false"/>
          <w:i w:val="false"/>
          <w:sz w:val="20"/>
        </w:rPr>
        <w:t/>
      </w:r>
    </w:p>
    <w:p>
      <w:pPr>
        <w:pStyle w:val="ab"/>
        <w:numPr>
          <w:numId w:val="24"/>
        </w:numPr>
      </w:pPr>
      <w:r>
        <w:t>01:34:37 下半年证券行业投资策略：头部券商与业绩兑现</w:t>
      </w:r>
    </w:p>
    <w:p>
      <w:r>
        <w:rPr>
          <w:rFonts w:ascii="等线(中文正文)" w:hAnsi="等线(中文正文)" w:cs="等线(中文正文)" w:eastAsia="等线(中文正文)"/>
          <w:b w:val="false"/>
          <w:i w:val="false"/>
          <w:sz w:val="20"/>
        </w:rPr>
        <w:t>下半年市场交易额有望上行，两融余额可能达3.5万亿，投行持续增长。建议关注头部券商投资价值及业绩持续兑现能力，同时关注与科创龙头正向利润绑定的券商，以及并购重组中长期布局。当前券商估值修复空间大，中长期看好估值修复趋势。</w:t>
      </w:r>
    </w:p>
    <w:p>
      <w:r>
        <w:rPr>
          <w:rFonts w:ascii="等线(中文正文)" w:hAnsi="等线(中文正文)" w:cs="等线(中文正文)" w:eastAsia="等线(中文正文)"/>
          <w:b w:val="false"/>
          <w:i w:val="false"/>
          <w:sz w:val="20"/>
        </w:rPr>
        <w:t/>
      </w:r>
    </w:p>
    <w:p>
      <w:pPr>
        <w:pStyle w:val="a7"/>
      </w:pPr>
      <w:r>
        <w:t>发言总结</w:t>
      </w:r>
    </w:p>
    <w:p>
      <w:pPr>
        <w:pStyle w:val="ab"/>
        <w:numPr>
          <w:numId w:val="25"/>
        </w:numPr>
      </w:pPr>
      <w:r>
        <w:t>发言人1</w:t>
      </w:r>
    </w:p>
    <w:p>
      <w:r>
        <w:rPr>
          <w:rFonts w:ascii="等线(中文正文)" w:hAnsi="等线(中文正文)" w:cs="等线(中文正文)" w:eastAsia="等线(中文正文)"/>
          <w:b w:val="false"/>
          <w:i w:val="false"/>
          <w:sz w:val="20"/>
        </w:rPr>
        <w:t>他在东兴证券总量专场2026年度中期策略会上的发言集中讨论了全球宏观形势、美联储政策、科技行业投资机会以及银行板块的表现。他认为，当前全球最大的变数是能源冲击的回落和美联储政策的不确定性，全球景气度可能呈现前高后低的趋势。在科技行业，受益于全球AI资本开支的超级扩张周期，行业将迎来长周期的结构性机遇。对于银行板块，尽管面临资金配置的压力，但净息差的改善和国有行营收的改善提供了支撑，建议关注营收改善、资金面稳固的银行股票。他还强调了政策变化和外部环境对经济的影响，认为在全球科技革命和政策推动下，科技板块和银行板块存在长期投资机会，投资者应关注基本面改善和资金配置趋势，把握结构性投资机会。在银行板块，资产端升级和负债端的存款搬家趋势持续，净息差企稳，资产质量保持平稳。证券行业方面，财务管理转型持续，投行业务、公募基金和衍生品市场投资被看作是行业发展的重点。他提出，下半年应关注头部券商的业绩修复和估值提升，对整个券商行业持乐观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问：在下半年全球宏观方面，您认为最大的两个变数是什么？</w:t>
      </w:r>
    </w:p>
    <w:p>
      <w:r>
        <w:rPr>
          <w:rFonts w:ascii="等线(中文正文)" w:hAnsi="等线(中文正文)" w:cs="等线(中文正文)" w:eastAsia="等线(中文正文)"/>
          <w:b w:val="false"/>
          <w:i w:val="false"/>
          <w:sz w:val="20"/>
        </w:rPr>
        <w:t>发言人1 答：下半年全球宏观最大的两个变数是能源冲击的回落和美联储降息预期的扭转，可能变为加息或不加息以及可能开启缩表。</w:t>
      </w:r>
    </w:p>
    <w:p>
      <w:r>
        <w:rPr>
          <w:rFonts w:ascii="等线(中文正文)" w:hAnsi="等线(中文正文)" w:cs="等线(中文正文)" w:eastAsia="等线(中文正文)"/>
          <w:b w:val="false"/>
          <w:i w:val="false"/>
          <w:sz w:val="20"/>
        </w:rPr>
        <w:t/>
      </w:r>
    </w:p>
    <w:p>
      <w:pPr>
        <w:pStyle w:val="ab"/>
      </w:pPr>
      <w:r>
        <w:t>发言人1 问：美伊协议对能源价格的影响以及对美国经济的支撑是怎样的？</w:t>
      </w:r>
    </w:p>
    <w:p>
      <w:r>
        <w:rPr>
          <w:rFonts w:ascii="等线(中文正文)" w:hAnsi="等线(中文正文)" w:cs="等线(中文正文)" w:eastAsia="等线(中文正文)"/>
          <w:b w:val="false"/>
          <w:i w:val="false"/>
          <w:sz w:val="20"/>
        </w:rPr>
        <w:t>发言人1 答：如果美伊协议能有效落地，在11月份美国中期选举之前，它将对能源价格起到一定压制作用。这有助于缓解消费动能略低于上半年的压力，并且AI投资仍将继续支撑经济增长，使得美国经济在下半年内生的部分，即消费和投资，有望保持一定的增长区别。</w:t>
      </w:r>
    </w:p>
    <w:p>
      <w:r>
        <w:rPr>
          <w:rFonts w:ascii="等线(中文正文)" w:hAnsi="等线(中文正文)" w:cs="等线(中文正文)" w:eastAsia="等线(中文正文)"/>
          <w:b w:val="false"/>
          <w:i w:val="false"/>
          <w:sz w:val="20"/>
        </w:rPr>
        <w:t/>
      </w:r>
    </w:p>
    <w:p>
      <w:pPr>
        <w:pStyle w:val="ab"/>
      </w:pPr>
      <w:r>
        <w:t>发言人1 问：您对美联储货币政策和通胀形势的看法是怎样的？</w:t>
      </w:r>
    </w:p>
    <w:p>
      <w:r>
        <w:rPr>
          <w:rFonts w:ascii="等线(中文正文)" w:hAnsi="等线(中文正文)" w:cs="等线(中文正文)" w:eastAsia="等线(中文正文)"/>
          <w:b w:val="false"/>
          <w:i w:val="false"/>
          <w:sz w:val="20"/>
        </w:rPr>
        <w:t>发言人1 答：我们认为随着能源价格显著回落，短期通胀压力能得到缓解，不加息是美联储的基准情景。但在三季度末至四季度，缩表的可能性会上升，这可能是市场尚未充分定价的变量。</w:t>
      </w:r>
    </w:p>
    <w:p>
      <w:r>
        <w:rPr>
          <w:rFonts w:ascii="等线(中文正文)" w:hAnsi="等线(中文正文)" w:cs="等线(中文正文)" w:eastAsia="等线(中文正文)"/>
          <w:b w:val="false"/>
          <w:i w:val="false"/>
          <w:sz w:val="20"/>
        </w:rPr>
        <w:t/>
      </w:r>
    </w:p>
    <w:p>
      <w:pPr>
        <w:pStyle w:val="ab"/>
      </w:pPr>
      <w:r>
        <w:t>发言人1 问：您对于全球资本市场和美元指数的预期如何？</w:t>
      </w:r>
    </w:p>
    <w:p>
      <w:r>
        <w:rPr>
          <w:rFonts w:ascii="等线(中文正文)" w:hAnsi="等线(中文正文)" w:cs="等线(中文正文)" w:eastAsia="等线(中文正文)"/>
          <w:b w:val="false"/>
          <w:i w:val="false"/>
          <w:sz w:val="20"/>
        </w:rPr>
        <w:t>发言人1 答：对于资本市场，我们设定美债上限在4.6到4.7，如果美伊谈判顺利，上限可能会下移到4.5附近。整体上，由于经济衰退概率不大，我们对全球经济从中心趋于中性，但长期保持乐观态度。短期内由于美元走强及对通胀的严肃态度，黄金暂停了长期涨势。</w:t>
      </w:r>
    </w:p>
    <w:p>
      <w:r>
        <w:rPr>
          <w:rFonts w:ascii="等线(中文正文)" w:hAnsi="等线(中文正文)" w:cs="等线(中文正文)" w:eastAsia="等线(中文正文)"/>
          <w:b w:val="false"/>
          <w:i w:val="false"/>
          <w:sz w:val="20"/>
        </w:rPr>
        <w:t/>
      </w:r>
    </w:p>
    <w:p>
      <w:pPr>
        <w:pStyle w:val="ab"/>
      </w:pPr>
      <w:r>
        <w:t>发言人1 问：上半年发达国家经济状况如何？</w:t>
      </w:r>
    </w:p>
    <w:p>
      <w:r>
        <w:rPr>
          <w:rFonts w:ascii="等线(中文正文)" w:hAnsi="等线(中文正文)" w:cs="等线(中文正文)" w:eastAsia="等线(中文正文)"/>
          <w:b w:val="false"/>
          <w:i w:val="false"/>
          <w:sz w:val="20"/>
        </w:rPr>
        <w:t>发言人1 答：上半年多数发达国家经济处于温和增长或更换阶段。德国和法国因出口回升取得一定增长，而意大利、西班牙、荷兰等国表现优于德国，英国受益于内需提升，日本得益于AI出口和消费增长。加拿大则因移民政策影响，GDP总量停滞。</w:t>
      </w:r>
    </w:p>
    <w:p>
      <w:r>
        <w:rPr>
          <w:rFonts w:ascii="等线(中文正文)" w:hAnsi="等线(中文正文)" w:cs="等线(中文正文)" w:eastAsia="等线(中文正文)"/>
          <w:b w:val="false"/>
          <w:i w:val="false"/>
          <w:sz w:val="20"/>
        </w:rPr>
        <w:t/>
      </w:r>
    </w:p>
    <w:p>
      <w:pPr>
        <w:pStyle w:val="ab"/>
      </w:pPr>
      <w:r>
        <w:t>发言人1 问：发达国家对于美伊冲突导致的能源冲击有何不同反应？</w:t>
      </w:r>
    </w:p>
    <w:p>
      <w:r>
        <w:rPr>
          <w:rFonts w:ascii="等线(中文正文)" w:hAnsi="等线(中文正文)" w:cs="等线(中文正文)" w:eastAsia="等线(中文正文)"/>
          <w:b w:val="false"/>
          <w:i w:val="false"/>
          <w:sz w:val="20"/>
        </w:rPr>
        <w:t>发言人1 答：不同国家对能源政策有不同的处理方式，如英国和日本通过财政补贴降低了消费者感受到的油价上涨，所以他们的通胀数据趋势性走低。而加拿大由于加息背景下的经济放缓和基数效应，核心通胀压力小于去年。</w:t>
      </w:r>
    </w:p>
    <w:p>
      <w:r>
        <w:rPr>
          <w:rFonts w:ascii="等线(中文正文)" w:hAnsi="等线(中文正文)" w:cs="等线(中文正文)" w:eastAsia="等线(中文正文)"/>
          <w:b w:val="false"/>
          <w:i w:val="false"/>
          <w:sz w:val="20"/>
        </w:rPr>
        <w:t/>
      </w:r>
    </w:p>
    <w:p>
      <w:pPr>
        <w:pStyle w:val="ab"/>
      </w:pPr>
      <w:r>
        <w:t>发言人1 问：目前发达国家央行的态度是什么？</w:t>
      </w:r>
    </w:p>
    <w:p>
      <w:r>
        <w:rPr>
          <w:rFonts w:ascii="等线(中文正文)" w:hAnsi="等线(中文正文)" w:cs="等线(中文正文)" w:eastAsia="等线(中文正文)"/>
          <w:b w:val="false"/>
          <w:i w:val="false"/>
          <w:sz w:val="20"/>
        </w:rPr>
        <w:t>发言人1 答：目前，除日本和澳大利亚外，大部分发达国家央行暂停降息通道，如澳大利亚在六月份选择暂停加息，而欧盟和日本选择加息。不过，由于德国和法国经济增速较低，欧洲央行加息可能会对下半年经济造成短期压制。</w:t>
      </w:r>
    </w:p>
    <w:p>
      <w:r>
        <w:rPr>
          <w:rFonts w:ascii="等线(中文正文)" w:hAnsi="等线(中文正文)" w:cs="等线(中文正文)" w:eastAsia="等线(中文正文)"/>
          <w:b w:val="false"/>
          <w:i w:val="false"/>
          <w:sz w:val="20"/>
        </w:rPr>
        <w:t/>
      </w:r>
    </w:p>
    <w:p>
      <w:pPr>
        <w:pStyle w:val="ab"/>
      </w:pPr>
      <w:r>
        <w:t>发言人1 问：下半年全球和美国的景气度预期是什么？</w:t>
      </w:r>
    </w:p>
    <w:p>
      <w:r>
        <w:rPr>
          <w:rFonts w:ascii="等线(中文正文)" w:hAnsi="等线(中文正文)" w:cs="等线(中文正文)" w:eastAsia="等线(中文正文)"/>
          <w:b w:val="false"/>
          <w:i w:val="false"/>
          <w:sz w:val="20"/>
        </w:rPr>
        <w:t>发言人1 答：我们预期全球景气度将呈现前低后高的走势，不发生衰退；而美国经济在下半年受益于AI投资和消费增长，景气度也将先低后高。同时，随着美伊冲突带来的不确定性下降，全球预期有望改善。</w:t>
      </w:r>
    </w:p>
    <w:p>
      <w:r>
        <w:rPr>
          <w:rFonts w:ascii="等线(中文正文)" w:hAnsi="等线(中文正文)" w:cs="等线(中文正文)" w:eastAsia="等线(中文正文)"/>
          <w:b w:val="false"/>
          <w:i w:val="false"/>
          <w:sz w:val="20"/>
        </w:rPr>
        <w:t/>
      </w:r>
    </w:p>
    <w:p>
      <w:pPr>
        <w:pStyle w:val="ab"/>
      </w:pPr>
      <w:r>
        <w:t>发言人1 问：美国消费支出中，可选消费服务业的同比表现如何？家庭负债端对消费能力的影响情况是怎样的？</w:t>
      </w:r>
    </w:p>
    <w:p>
      <w:r>
        <w:rPr>
          <w:rFonts w:ascii="等线(中文正文)" w:hAnsi="等线(中文正文)" w:cs="等线(中文正文)" w:eastAsia="等线(中文正文)"/>
          <w:b w:val="false"/>
          <w:i w:val="false"/>
          <w:sz w:val="20"/>
        </w:rPr>
        <w:t>发言人1 答：美国可选消费服务业中，有一个服务业的同比是回升的，但餐饮住宿业的同比仍处于低位。家庭负债对消费能力并未构成压制，随着去年下半年降息，今年上半年消费贷款违约率没有恶化，反而有小幅下降，信用端消费动能尚未明显减弱。</w:t>
      </w:r>
    </w:p>
    <w:p>
      <w:r>
        <w:rPr>
          <w:rFonts w:ascii="等线(中文正文)" w:hAnsi="等线(中文正文)" w:cs="等线(中文正文)" w:eastAsia="等线(中文正文)"/>
          <w:b w:val="false"/>
          <w:i w:val="false"/>
          <w:sz w:val="20"/>
        </w:rPr>
        <w:t/>
      </w:r>
    </w:p>
    <w:p>
      <w:pPr>
        <w:pStyle w:val="ab"/>
      </w:pPr>
      <w:r>
        <w:t>发言人1 问：消费同比下滑的主要原因是什么？</w:t>
      </w:r>
    </w:p>
    <w:p>
      <w:r>
        <w:rPr>
          <w:rFonts w:ascii="等线(中文正文)" w:hAnsi="等线(中文正文)" w:cs="等线(中文正文)" w:eastAsia="等线(中文正文)"/>
          <w:b w:val="false"/>
          <w:i w:val="false"/>
          <w:sz w:val="20"/>
        </w:rPr>
        <w:t>发言人1 答：消费同比下滑的主要推原因是来自收入，尤其是中高端人群薪资增速下降，而低收入人群的消费能力仍能保持增长。高收入人群对消费的拉动作用减弱，导致消费同比低于去年同期。</w:t>
      </w:r>
    </w:p>
    <w:p>
      <w:r>
        <w:rPr>
          <w:rFonts w:ascii="等线(中文正文)" w:hAnsi="等线(中文正文)" w:cs="等线(中文正文)" w:eastAsia="等线(中文正文)"/>
          <w:b w:val="false"/>
          <w:i w:val="false"/>
          <w:sz w:val="20"/>
        </w:rPr>
        <w:t/>
      </w:r>
    </w:p>
    <w:p>
      <w:pPr>
        <w:pStyle w:val="ab"/>
      </w:pPr>
      <w:r>
        <w:t>发言人1 问：劳动力市场流动性是否有改善？</w:t>
      </w:r>
    </w:p>
    <w:p>
      <w:r>
        <w:rPr>
          <w:rFonts w:ascii="等线(中文正文)" w:hAnsi="等线(中文正文)" w:cs="等线(中文正文)" w:eastAsia="等线(中文正文)"/>
          <w:b w:val="false"/>
          <w:i w:val="false"/>
          <w:sz w:val="20"/>
        </w:rPr>
        <w:t>发言人1 答：近几个月劳动力市场流动性有所好转，部分行业如非住宅建筑和耐用品制造业出现了罕见的连续工业就业增长，且从长期岗位需求看，劳动力市场紧张程度出现触底回升迹象。</w:t>
      </w:r>
    </w:p>
    <w:p>
      <w:r>
        <w:rPr>
          <w:rFonts w:ascii="等线(中文正文)" w:hAnsi="等线(中文正文)" w:cs="等线(中文正文)" w:eastAsia="等线(中文正文)"/>
          <w:b w:val="false"/>
          <w:i w:val="false"/>
          <w:sz w:val="20"/>
        </w:rPr>
        <w:t/>
      </w:r>
    </w:p>
    <w:p>
      <w:pPr>
        <w:pStyle w:val="ab"/>
      </w:pPr>
      <w:r>
        <w:t>发言人1 问：AI投资对美国经济的影响如何？AI投资是否带来了一些外溢效应？</w:t>
      </w:r>
    </w:p>
    <w:p>
      <w:r>
        <w:rPr>
          <w:rFonts w:ascii="等线(中文正文)" w:hAnsi="等线(中文正文)" w:cs="等线(中文正文)" w:eastAsia="等线(中文正文)"/>
          <w:b w:val="false"/>
          <w:i w:val="false"/>
          <w:sz w:val="20"/>
        </w:rPr>
        <w:t>发言人1 答：AI投资是拉动美国经济的一个独立引擎，尤其在数据中心建立方面，由于项目落地周期较长，AI基建投资至少在未来1到2年内将持续推动经济增长。虽然AI投资对消费拉动不明显，但在就业市场上，非住宅建筑及耐用品和制造业非农就业出现边际增长，这体现了AI投资的部分外溢效应，集中在东亚地区。</w:t>
      </w:r>
    </w:p>
    <w:p>
      <w:r>
        <w:rPr>
          <w:rFonts w:ascii="等线(中文正文)" w:hAnsi="等线(中文正文)" w:cs="等线(中文正文)" w:eastAsia="等线(中文正文)"/>
          <w:b w:val="false"/>
          <w:i w:val="false"/>
          <w:sz w:val="20"/>
        </w:rPr>
        <w:t/>
      </w:r>
    </w:p>
    <w:p>
      <w:pPr>
        <w:pStyle w:val="ab"/>
      </w:pPr>
      <w:r>
        <w:t>发言人1 问：AI投资为何没有明显提升民众感受？</w:t>
      </w:r>
    </w:p>
    <w:p>
      <w:r>
        <w:rPr>
          <w:rFonts w:ascii="等线(中文正文)" w:hAnsi="等线(中文正文)" w:cs="等线(中文正文)" w:eastAsia="等线(中文正文)"/>
          <w:b w:val="false"/>
          <w:i w:val="false"/>
          <w:sz w:val="20"/>
        </w:rPr>
        <w:t>发言人1 答：主要原因是美国制造业空心化导致AI物理投资对本土影响集中在厂房建设、电力等方面，而芯片、存储等半导体设备需求在外，未能在就业数据中得到体现。</w:t>
      </w:r>
    </w:p>
    <w:p>
      <w:r>
        <w:rPr>
          <w:rFonts w:ascii="等线(中文正文)" w:hAnsi="等线(中文正文)" w:cs="等线(中文正文)" w:eastAsia="等线(中文正文)"/>
          <w:b w:val="false"/>
          <w:i w:val="false"/>
          <w:sz w:val="20"/>
        </w:rPr>
        <w:t/>
      </w:r>
    </w:p>
    <w:p>
      <w:pPr>
        <w:pStyle w:val="ab"/>
      </w:pPr>
      <w:r>
        <w:t>发言人1 问：宏观层面的企业盈利状况如何？</w:t>
      </w:r>
    </w:p>
    <w:p>
      <w:r>
        <w:rPr>
          <w:rFonts w:ascii="等线(中文正文)" w:hAnsi="等线(中文正文)" w:cs="等线(中文正文)" w:eastAsia="等线(中文正文)"/>
          <w:b w:val="false"/>
          <w:i w:val="false"/>
          <w:sz w:val="20"/>
        </w:rPr>
        <w:t>发言人1 答：宏观层面的企业盈利在增长，净利率占GDP比重上升，尽管AI相关企业账面现金充裕，但宏观层面上企业盈利与负债增速匹配良好，未出现类似2000年前的那种背离现象。</w:t>
      </w:r>
    </w:p>
    <w:p>
      <w:r>
        <w:rPr>
          <w:rFonts w:ascii="等线(中文正文)" w:hAnsi="等线(中文正文)" w:cs="等线(中文正文)" w:eastAsia="等线(中文正文)"/>
          <w:b w:val="false"/>
          <w:i w:val="false"/>
          <w:sz w:val="20"/>
        </w:rPr>
        <w:t/>
      </w:r>
    </w:p>
    <w:p>
      <w:pPr>
        <w:pStyle w:val="ab"/>
      </w:pPr>
      <w:r>
        <w:t>发言人1 问：目前联邦财政政策和货币政策状态怎样？</w:t>
      </w:r>
    </w:p>
    <w:p>
      <w:r>
        <w:rPr>
          <w:rFonts w:ascii="等线(中文正文)" w:hAnsi="等线(中文正文)" w:cs="等线(中文正文)" w:eastAsia="等线(中文正文)"/>
          <w:b w:val="false"/>
          <w:i w:val="false"/>
          <w:sz w:val="20"/>
        </w:rPr>
        <w:t>发言人1 答：联邦财政政策相对宽松，但由于利息支出较高，需要控制市场通胀预期以保持支出占联邦收入的稳定。货币政策方面，不加息且缩表是基本态度，市场对此尚未充分计价。</w:t>
      </w:r>
    </w:p>
    <w:p>
      <w:r>
        <w:rPr>
          <w:rFonts w:ascii="等线(中文正文)" w:hAnsi="等线(中文正文)" w:cs="等线(中文正文)" w:eastAsia="等线(中文正文)"/>
          <w:b w:val="false"/>
          <w:i w:val="false"/>
          <w:sz w:val="20"/>
        </w:rPr>
        <w:t/>
      </w:r>
    </w:p>
    <w:p>
      <w:pPr>
        <w:pStyle w:val="ab"/>
      </w:pPr>
      <w:r>
        <w:t>发言人1 问：对通胀形势的看法如何？</w:t>
      </w:r>
    </w:p>
    <w:p>
      <w:r>
        <w:rPr>
          <w:rFonts w:ascii="等线(中文正文)" w:hAnsi="等线(中文正文)" w:cs="等线(中文正文)" w:eastAsia="等线(中文正文)"/>
          <w:b w:val="false"/>
          <w:i w:val="false"/>
          <w:sz w:val="20"/>
        </w:rPr>
        <w:t>发言人1 答：中短期对通胀持乐观态度，因能源价格回落、核心通胀未扩散以及美股通胀容易不及预期。然而，财政法案的影响需较长时间才能显现，预计在下半年四季度后与货币政策产生共振。从中长期看，通胀压力依然存在，即使油价回落，仍需关注财政政策宽松度及AI对消费电子价格的影响。</w:t>
      </w:r>
    </w:p>
    <w:p>
      <w:r>
        <w:rPr>
          <w:rFonts w:ascii="等线(中文正文)" w:hAnsi="等线(中文正文)" w:cs="等线(中文正文)" w:eastAsia="等线(中文正文)"/>
          <w:b w:val="false"/>
          <w:i w:val="false"/>
          <w:sz w:val="20"/>
        </w:rPr>
        <w:t/>
      </w:r>
    </w:p>
    <w:p>
      <w:pPr>
        <w:pStyle w:val="ab"/>
      </w:pPr>
      <w:r>
        <w:t>发言人1 问：对于美股市场，在中短期和中长期的展望是什么？</w:t>
      </w:r>
    </w:p>
    <w:p>
      <w:r>
        <w:rPr>
          <w:rFonts w:ascii="等线(中文正文)" w:hAnsi="等线(中文正文)" w:cs="等线(中文正文)" w:eastAsia="等线(中文正文)"/>
          <w:b w:val="false"/>
          <w:i w:val="false"/>
          <w:sz w:val="20"/>
        </w:rPr>
        <w:t>发言人1 答：在中短期，尤其是在八月中旬之前，我们认为美股大概呈现中性震荡态势。而在中长期方面，由于预计不会发生经济衰退，我们保持中性的看法。</w:t>
      </w:r>
    </w:p>
    <w:p>
      <w:r>
        <w:rPr>
          <w:rFonts w:ascii="等线(中文正文)" w:hAnsi="等线(中文正文)" w:cs="等线(中文正文)" w:eastAsia="等线(中文正文)"/>
          <w:b w:val="false"/>
          <w:i w:val="false"/>
          <w:sz w:val="20"/>
        </w:rPr>
        <w:t/>
      </w:r>
    </w:p>
    <w:p>
      <w:pPr>
        <w:pStyle w:val="ab"/>
      </w:pPr>
      <w:r>
        <w:t>发言人1 问：目前标普500指数的PE以及与历史高点的关系如何？</w:t>
      </w:r>
    </w:p>
    <w:p>
      <w:r>
        <w:rPr>
          <w:rFonts w:ascii="等线(中文正文)" w:hAnsi="等线(中文正文)" w:cs="等线(中文正文)" w:eastAsia="等线(中文正文)"/>
          <w:b w:val="false"/>
          <w:i w:val="false"/>
          <w:sz w:val="20"/>
        </w:rPr>
        <w:t>发言人1 答：目前标普500指数的希勒PE非常接近2000年的高点，但距离2000年左右的水平仍有一段距离。同时，目前标普五百偏离其长期趋势大约50%。</w:t>
      </w:r>
    </w:p>
    <w:p>
      <w:r>
        <w:rPr>
          <w:rFonts w:ascii="等线(中文正文)" w:hAnsi="等线(中文正文)" w:cs="等线(中文正文)" w:eastAsia="等线(中文正文)"/>
          <w:b w:val="false"/>
          <w:i w:val="false"/>
          <w:sz w:val="20"/>
        </w:rPr>
        <w:t/>
      </w:r>
    </w:p>
    <w:p>
      <w:pPr>
        <w:pStyle w:val="ab"/>
      </w:pPr>
      <w:r>
        <w:t>发言人1 问：货币政策对长期趋势泡沫消退的影响是什么？</w:t>
      </w:r>
    </w:p>
    <w:p>
      <w:r>
        <w:rPr>
          <w:rFonts w:ascii="等线(中文正文)" w:hAnsi="等线(中文正文)" w:cs="等线(中文正文)" w:eastAsia="等线(中文正文)"/>
          <w:b w:val="false"/>
          <w:i w:val="false"/>
          <w:sz w:val="20"/>
        </w:rPr>
        <w:t>发言人1 答：历次长期趋势泡沫消亡都与货币政策收紧有关。目前短端流动性尚未看到持续收紧的迹象，因此我们认为发生类似经济衰退级别的深度回调不是基本情景，短期以震荡为主，中长期仍保持中性偏积极的态度。</w:t>
      </w:r>
    </w:p>
    <w:p>
      <w:r>
        <w:rPr>
          <w:rFonts w:ascii="等线(中文正文)" w:hAnsi="等线(中文正文)" w:cs="等线(中文正文)" w:eastAsia="等线(中文正文)"/>
          <w:b w:val="false"/>
          <w:i w:val="false"/>
          <w:sz w:val="20"/>
        </w:rPr>
        <w:t/>
      </w:r>
    </w:p>
    <w:p>
      <w:pPr>
        <w:pStyle w:val="ab"/>
      </w:pPr>
      <w:r>
        <w:t>发言人1 问：黄金价格走势如何？</w:t>
      </w:r>
    </w:p>
    <w:p>
      <w:r>
        <w:rPr>
          <w:rFonts w:ascii="等线(中文正文)" w:hAnsi="等线(中文正文)" w:cs="等线(中文正文)" w:eastAsia="等线(中文正文)"/>
          <w:b w:val="false"/>
          <w:i w:val="false"/>
          <w:sz w:val="20"/>
        </w:rPr>
        <w:t>发言人1 答：我们认为，在美元进入强势区间和美联储对通胀持严肃态度的背景下，黄金在中短期内可能会暂停其长期上涨趋势。但如果美联储不加息，黄金的长期涨势尚未完全破除。</w:t>
      </w:r>
    </w:p>
    <w:p>
      <w:r>
        <w:rPr>
          <w:rFonts w:ascii="等线(中文正文)" w:hAnsi="等线(中文正文)" w:cs="等线(中文正文)" w:eastAsia="等线(中文正文)"/>
          <w:b w:val="false"/>
          <w:i w:val="false"/>
          <w:sz w:val="20"/>
        </w:rPr>
        <w:t/>
      </w:r>
    </w:p>
    <w:p>
      <w:pPr>
        <w:pStyle w:val="ab"/>
      </w:pPr>
      <w:r>
        <w:t>发言人1 问：对于下半年市场的总体看法是什么？</w:t>
      </w:r>
    </w:p>
    <w:p>
      <w:r>
        <w:rPr>
          <w:rFonts w:ascii="等线(中文正文)" w:hAnsi="等线(中文正文)" w:cs="等线(中文正文)" w:eastAsia="等线(中文正文)"/>
          <w:b w:val="false"/>
          <w:i w:val="false"/>
          <w:sz w:val="20"/>
        </w:rPr>
        <w:t>发言人1 答：我们预计2026年下半年市场将延续K型走势，科技股将持续成为主线。主要观点包括：1) 推行分化成为新常态，未来很长一段时间将是市场结构性特点；2) AI行情具有全局性产业革命的颠覆性特点，坚定看好科技方向；3) 策略上，强调咬定科技不放松，并关注风险。</w:t>
      </w:r>
    </w:p>
    <w:p>
      <w:r>
        <w:rPr>
          <w:rFonts w:ascii="等线(中文正文)" w:hAnsi="等线(中文正文)" w:cs="等线(中文正文)" w:eastAsia="等线(中文正文)"/>
          <w:b w:val="false"/>
          <w:i w:val="false"/>
          <w:sz w:val="20"/>
        </w:rPr>
        <w:t/>
      </w:r>
    </w:p>
    <w:p>
      <w:pPr>
        <w:pStyle w:val="ab"/>
      </w:pPr>
      <w:r>
        <w:t>发言人1 问：上半年市场行情的主要特点是什么？</w:t>
      </w:r>
    </w:p>
    <w:p>
      <w:r>
        <w:rPr>
          <w:rFonts w:ascii="等线(中文正文)" w:hAnsi="等线(中文正文)" w:cs="等线(中文正文)" w:eastAsia="等线(中文正文)"/>
          <w:b w:val="false"/>
          <w:i w:val="false"/>
          <w:sz w:val="20"/>
        </w:rPr>
        <w:t>发言人1 答：上半年市场呈现明显的结构性牛市行情，表现为以科技为代表的赛道中存在超额收益，而传统板块则持续失血。指数间涨幅差异巨大，科创50和上证50之间的超额收益达到历史最大值。此外，盈利分化明显，科创50盈利爆发性增长，而上证50净利润增速微幅增长，剪刀差持续扩大。资金选择上，两融资金高度集中于科技方向，特别是电子通信和有色板块，而传统价值消费类资金持续流出。</w:t>
      </w:r>
    </w:p>
    <w:p>
      <w:r>
        <w:rPr>
          <w:rFonts w:ascii="等线(中文正文)" w:hAnsi="等线(中文正文)" w:cs="等线(中文正文)" w:eastAsia="等线(中文正文)"/>
          <w:b w:val="false"/>
          <w:i w:val="false"/>
          <w:sz w:val="20"/>
        </w:rPr>
        <w:t/>
      </w:r>
    </w:p>
    <w:p>
      <w:pPr>
        <w:pStyle w:val="ab"/>
      </w:pPr>
      <w:r>
        <w:t>发言人1 问：这种K型走势背后的经济原因是什么？</w:t>
      </w:r>
    </w:p>
    <w:p>
      <w:r>
        <w:rPr>
          <w:rFonts w:ascii="等线(中文正文)" w:hAnsi="等线(中文正文)" w:cs="等线(中文正文)" w:eastAsia="等线(中文正文)"/>
          <w:b w:val="false"/>
          <w:i w:val="false"/>
          <w:sz w:val="20"/>
        </w:rPr>
        <w:t>发言人1 答：K型走势与中国经济K型复苏提前的表现密切相关。新旧动能转换中，AI产业链等新动能出现爆发性增长，但资本密集型的新动能对内需的拉动效果低于传统产业，导致内需走弱。同时，新经济形态下，投资结构出现显著分化，新制造业投资增速快，而传统产业投资大幅负增长。出口方面，高新技术出口持续景气，传统产业增幅微弱，显示出经济的结构性变化。</w:t>
      </w:r>
    </w:p>
    <w:p>
      <w:r>
        <w:rPr>
          <w:rFonts w:ascii="等线(中文正文)" w:hAnsi="等线(中文正文)" w:cs="等线(中文正文)" w:eastAsia="等线(中文正文)"/>
          <w:b w:val="false"/>
          <w:i w:val="false"/>
          <w:sz w:val="20"/>
        </w:rPr>
        <w:t/>
      </w:r>
    </w:p>
    <w:p>
      <w:pPr>
        <w:pStyle w:val="ab"/>
      </w:pPr>
      <w:r>
        <w:t>发言人1 问：对于未来经济发展的走向有何预测？</w:t>
      </w:r>
    </w:p>
    <w:p>
      <w:r>
        <w:rPr>
          <w:rFonts w:ascii="等线(中文正文)" w:hAnsi="等线(中文正文)" w:cs="等线(中文正文)" w:eastAsia="等线(中文正文)"/>
          <w:b w:val="false"/>
          <w:i w:val="false"/>
          <w:sz w:val="20"/>
        </w:rPr>
        <w:t>发言人1 答：科技经济目前处于技术革命早期的阶段性分化状态，最终可能走向三种路径之一：如果市场自我出清且缺乏政策干预，可能会滑向M型社会，资本回报高于劳动回报，消费市场萎缩；若旧经济没有长期就业需求和传统产业托底，将引发深度衰退；更为合理的路径可能是政府主动干预，通过资本税、财产税等手段调节经济，实现新旧动能的收敛均衡，促进经济增长。</w:t>
      </w:r>
    </w:p>
    <w:p>
      <w:r>
        <w:rPr>
          <w:rFonts w:ascii="等线(中文正文)" w:hAnsi="等线(中文正文)" w:cs="等线(中文正文)" w:eastAsia="等线(中文正文)"/>
          <w:b w:val="false"/>
          <w:i w:val="false"/>
          <w:sz w:val="20"/>
        </w:rPr>
        <w:t/>
      </w:r>
    </w:p>
    <w:p>
      <w:pPr>
        <w:pStyle w:val="ab"/>
      </w:pPr>
      <w:r>
        <w:t>发言人1 问：K型行情与过去牛市行情有何不同？</w:t>
      </w:r>
    </w:p>
    <w:p>
      <w:r>
        <w:rPr>
          <w:rFonts w:ascii="等线(中文正文)" w:hAnsi="等线(中文正文)" w:cs="等线(中文正文)" w:eastAsia="等线(中文正文)"/>
          <w:b w:val="false"/>
          <w:i w:val="false"/>
          <w:sz w:val="20"/>
        </w:rPr>
        <w:t>发言人1 答：对比过去几轮科技牛市行情（移动互联网牛市、消费电子牛市、半导体国产替代牛市），当前这轮行情具备更强的产业红利支撑和盈利兑现能力。但受限于产业周期、技术迭代、资金属性等因素，最终都走向震荡回落，并未形成长期持续性的牛市。而当前的K型牛市相较于过去几轮行情，具有更强的业绩支撑和更稳定的盈利预期，但同时也面临一定的不确定性。</w:t>
      </w:r>
    </w:p>
    <w:p>
      <w:r>
        <w:rPr>
          <w:rFonts w:ascii="等线(中文正文)" w:hAnsi="等线(中文正文)" w:cs="等线(中文正文)" w:eastAsia="等线(中文正文)"/>
          <w:b w:val="false"/>
          <w:i w:val="false"/>
          <w:sz w:val="20"/>
        </w:rPr>
        <w:t/>
      </w:r>
    </w:p>
    <w:p>
      <w:pPr>
        <w:pStyle w:val="ab"/>
      </w:pPr>
      <w:r>
        <w:t>发言人1 问：在2019年到2021年的半导体行情中，存在哪些主要短板？本轮行情得以持续多久？其核心驱动力是什么？</w:t>
      </w:r>
    </w:p>
    <w:p>
      <w:r>
        <w:rPr>
          <w:rFonts w:ascii="等线(中文正文)" w:hAnsi="等线(中文正文)" w:cs="等线(中文正文)" w:eastAsia="等线(中文正文)"/>
          <w:b w:val="false"/>
          <w:i w:val="false"/>
          <w:sz w:val="20"/>
        </w:rPr>
        <w:t>发言人1 答：当时半导体行业的短板主要包括三个方面：首先，产业落地节奏较慢，大部分核心技术和设备仍依赖海外；其次，高端领域的突破有限，替代仅停留在部分低端环节；最后，行业的周期属性较强，在全球半导体库存最大周期和消费电子需求疲软的影响下，行业出现快速下行和盈利回落，且行情很大程度上依赖政策和外部情绪驱动，真实的业绩支撑周期较短。本轮行情自2023年开始至今，已经展现出不同于以往的长期性和稳定性，预计至少会持续到2028年。核心驱动力在于全球AI资本进入开支超级扩张周期，尤其是底层赛道对高端算力、高速传输和高带宽硬件的指数级增量需求，以及北美云厂商、苹果和特斯拉等七大厂在全球AI算力基础建设上的大规模支出。</w:t>
      </w:r>
    </w:p>
    <w:p>
      <w:r>
        <w:rPr>
          <w:rFonts w:ascii="等线(中文正文)" w:hAnsi="等线(中文正文)" w:cs="等线(中文正文)" w:eastAsia="等线(中文正文)"/>
          <w:b w:val="false"/>
          <w:i w:val="false"/>
          <w:sz w:val="20"/>
        </w:rPr>
        <w:t/>
      </w:r>
    </w:p>
    <w:p>
      <w:pPr>
        <w:pStyle w:val="ab"/>
      </w:pPr>
      <w:r>
        <w:t>发言人1 问：相较于历史上的三轮行情，本轮行情有何重大不同之处？</w:t>
      </w:r>
    </w:p>
    <w:p>
      <w:r>
        <w:rPr>
          <w:rFonts w:ascii="等线(中文正文)" w:hAnsi="等线(中文正文)" w:cs="等线(中文正文)" w:eastAsia="等线(中文正文)"/>
          <w:b w:val="false"/>
          <w:i w:val="false"/>
          <w:sz w:val="20"/>
        </w:rPr>
        <w:t>发言人1 答：本轮行情的最大不同在于重塑了全局性产业结构，摆脱了以往短周期、高泡沫、弱实际业绩的增长模式，实现了从题材预期向硬核业绩兑现、产业周期共振的根本性转变。本轮行情并非单纯由政策、流动性或题材控制，而是全球技术革命、产业资本、工商资本与国内政策落地共同作用的结果。</w:t>
      </w:r>
    </w:p>
    <w:p>
      <w:r>
        <w:rPr>
          <w:rFonts w:ascii="等线(中文正文)" w:hAnsi="等线(中文正文)" w:cs="等线(中文正文)" w:eastAsia="等线(中文正文)"/>
          <w:b w:val="false"/>
          <w:i w:val="false"/>
          <w:sz w:val="20"/>
        </w:rPr>
        <w:t/>
      </w:r>
    </w:p>
    <w:p>
      <w:pPr>
        <w:pStyle w:val="ab"/>
      </w:pPr>
      <w:r>
        <w:t>发言人1 问：当前的AI及相关行业需求是否已跳出传统消费电子框架？</w:t>
      </w:r>
    </w:p>
    <w:p>
      <w:r>
        <w:rPr>
          <w:rFonts w:ascii="等线(中文正文)" w:hAnsi="等线(中文正文)" w:cs="等线(中文正文)" w:eastAsia="等线(中文正文)"/>
          <w:b w:val="false"/>
          <w:i w:val="false"/>
          <w:sz w:val="20"/>
        </w:rPr>
        <w:t>发言人1 答：是的，当前生成实验、大模型、智能体等领域的持续迭代推动全社会算力指数级增长，这是一次底层技术革命范式的变革，不同于传统的消费电子需求，而是面向更广泛的领域和更高的增长弹性。</w:t>
      </w:r>
    </w:p>
    <w:p>
      <w:r>
        <w:rPr>
          <w:rFonts w:ascii="等线(中文正文)" w:hAnsi="等线(中文正文)" w:cs="等线(中文正文)" w:eastAsia="等线(中文正文)"/>
          <w:b w:val="false"/>
          <w:i w:val="false"/>
          <w:sz w:val="20"/>
        </w:rPr>
        <w:t/>
      </w:r>
    </w:p>
    <w:p>
      <w:pPr>
        <w:pStyle w:val="ab"/>
      </w:pPr>
      <w:r>
        <w:t>发言人1 问：从盈利角度来看，本轮行情为何能表现出持续性、稳定性和高弹性这三个特征？</w:t>
      </w:r>
    </w:p>
    <w:p>
      <w:r>
        <w:rPr>
          <w:rFonts w:ascii="等线(中文正文)" w:hAnsi="等线(中文正文)" w:cs="等线(中文正文)" w:eastAsia="等线(中文正文)"/>
          <w:b w:val="false"/>
          <w:i w:val="false"/>
          <w:sz w:val="20"/>
        </w:rPr>
        <w:t>发言人1 答：本轮行情的盈利增长是基于真实的海外大厂平台以及国内国产替代的刚性需求，订单和盈利持续超过市场预期，龙头公司净利润维持高增长。同时，全球资本开支同步扩张，形成共振效应，为后续若干年提供了坚实支撑。</w:t>
      </w:r>
    </w:p>
    <w:p>
      <w:r>
        <w:rPr>
          <w:rFonts w:ascii="等线(中文正文)" w:hAnsi="等线(中文正文)" w:cs="等线(中文正文)" w:eastAsia="等线(中文正文)"/>
          <w:b w:val="false"/>
          <w:i w:val="false"/>
          <w:sz w:val="20"/>
        </w:rPr>
        <w:t/>
      </w:r>
    </w:p>
    <w:p>
      <w:pPr>
        <w:pStyle w:val="ab"/>
      </w:pPr>
      <w:r>
        <w:t>发言人1 问：当前的半导体行业处于怎样的周期中？</w:t>
      </w:r>
    </w:p>
    <w:p>
      <w:r>
        <w:rPr>
          <w:rFonts w:ascii="等线(中文正文)" w:hAnsi="等线(中文正文)" w:cs="等线(中文正文)" w:eastAsia="等线(中文正文)"/>
          <w:b w:val="false"/>
          <w:i w:val="false"/>
          <w:sz w:val="20"/>
        </w:rPr>
        <w:t>发言人1 答：目前半导体行业已摆脱过去30年左右的传统周期，实现了颠覆性的周期变化，上行周期可能会拉长到10到20个季度，形成超级长周期。这一周期的改变主要得益于AI引领的结构性行情和全方位的技术革命，以及新旧动能转换带来的市场权重变化。</w:t>
      </w:r>
    </w:p>
    <w:p>
      <w:r>
        <w:rPr>
          <w:rFonts w:ascii="等线(中文正文)" w:hAnsi="等线(中文正文)" w:cs="等线(中文正文)" w:eastAsia="等线(中文正文)"/>
          <w:b w:val="false"/>
          <w:i w:val="false"/>
          <w:sz w:val="20"/>
        </w:rPr>
        <w:t/>
      </w:r>
    </w:p>
    <w:p>
      <w:pPr>
        <w:pStyle w:val="ab"/>
      </w:pPr>
      <w:r>
        <w:t>发言人1 问：对于未来市场的行业配置策略有何建议？</w:t>
      </w:r>
    </w:p>
    <w:p>
      <w:r>
        <w:rPr>
          <w:rFonts w:ascii="等线(中文正文)" w:hAnsi="等线(中文正文)" w:cs="等线(中文正文)" w:eastAsia="等线(中文正文)"/>
          <w:b w:val="false"/>
          <w:i w:val="false"/>
          <w:sz w:val="20"/>
        </w:rPr>
        <w:t>发言人1 答：建议投资者摒弃传统产业思维，重点布局以AI为代表的科技方向，该领域在未来将成为市场的核心力量。尽管短期可能存在股价波动，但从终局思维角度看，若未来市场空间无虞，科技方向的投资将带来持续向上的机会。在资产配置上，应以弹性为主，红利为辅，并抓住AI为代表的科技个股进行配置。</w:t>
      </w:r>
    </w:p>
    <w:p>
      <w:r>
        <w:rPr>
          <w:rFonts w:ascii="等线(中文正文)" w:hAnsi="等线(中文正文)" w:cs="等线(中文正文)" w:eastAsia="等线(中文正文)"/>
          <w:b w:val="false"/>
          <w:i w:val="false"/>
          <w:sz w:val="20"/>
        </w:rPr>
        <w:t/>
      </w:r>
    </w:p>
    <w:p>
      <w:pPr>
        <w:pStyle w:val="ab"/>
      </w:pPr>
      <w:r>
        <w:t>发言人1 问：对于核心公司股价快速上涨的情况，如何看待其估值水平和配置价值？</w:t>
      </w:r>
    </w:p>
    <w:p>
      <w:r>
        <w:rPr>
          <w:rFonts w:ascii="等线(中文正文)" w:hAnsi="等线(中文正文)" w:cs="等线(中文正文)" w:eastAsia="等线(中文正文)"/>
          <w:b w:val="false"/>
          <w:i w:val="false"/>
          <w:sz w:val="20"/>
        </w:rPr>
        <w:t>发言人1 答：虽然核心公司的股价涨幅较快，但其估值水平并不处在历史上很高的位置，龙头公司的估值泡沫并不夸张。因此，从长期配置角度看，核心板块仍有投资价值，尤其在非科技股持续调整、产生高股息收益机会时，可适当配置，但需注意其弹性有限。</w:t>
      </w:r>
    </w:p>
    <w:p>
      <w:r>
        <w:rPr>
          <w:rFonts w:ascii="等线(中文正文)" w:hAnsi="等线(中文正文)" w:cs="等线(中文正文)" w:eastAsia="等线(中文正文)"/>
          <w:b w:val="false"/>
          <w:i w:val="false"/>
          <w:sz w:val="20"/>
        </w:rPr>
        <w:t/>
      </w:r>
    </w:p>
    <w:p>
      <w:pPr>
        <w:pStyle w:val="ab"/>
      </w:pPr>
      <w:r>
        <w:t>发言人1 问：下半年A股策略中，哪些板块是重点关注的？</w:t>
      </w:r>
    </w:p>
    <w:p>
      <w:r>
        <w:rPr>
          <w:rFonts w:ascii="等线(中文正文)" w:hAnsi="等线(中文正文)" w:cs="等线(中文正文)" w:eastAsia="等线(中文正文)"/>
          <w:b w:val="false"/>
          <w:i w:val="false"/>
          <w:sz w:val="20"/>
        </w:rPr>
        <w:t>发言人1 答：重点关注的核心板块包括AI算力、半导体设备材料、上海航天机器人等黑科技方向，这些方向具有较大潜力，投资者应积极拥抱。同时，提醒大家注意新能源领域可能受到政策、经济及外部形势变化带来的风险。</w:t>
      </w:r>
    </w:p>
    <w:p>
      <w:r>
        <w:rPr>
          <w:rFonts w:ascii="等线(中文正文)" w:hAnsi="等线(中文正文)" w:cs="等线(中文正文)" w:eastAsia="等线(中文正文)"/>
          <w:b w:val="false"/>
          <w:i w:val="false"/>
          <w:sz w:val="20"/>
        </w:rPr>
        <w:t/>
      </w:r>
    </w:p>
    <w:p>
      <w:pPr>
        <w:pStyle w:val="ab"/>
      </w:pPr>
      <w:r>
        <w:t>发言人1 问：银行行业的中期策略报告主要关注哪些要点？</w:t>
      </w:r>
    </w:p>
    <w:p>
      <w:r>
        <w:rPr>
          <w:rFonts w:ascii="等线(中文正文)" w:hAnsi="等线(中文正文)" w:cs="等线(中文正文)" w:eastAsia="等线(中文正文)"/>
          <w:b w:val="false"/>
          <w:i w:val="false"/>
          <w:sz w:val="20"/>
        </w:rPr>
        <w:t>发言人1 答：报告主要聚焦于银行基本面和资金面改善的情况。从估值角度看，目前上市银行估值处于近十年低分位水平，且一季度业绩出现明显改善，主要是由于净息差企稳以及银行股息率对中长线资金具有吸引力。尽管实体经济有效融资需求偏弱压制银行板块表现，但从绝对和相对收益角度看，银行板块在市场风格波动中展现了一定的防御价值，其中城商行表现较为突出。</w:t>
      </w:r>
    </w:p>
    <w:p>
      <w:r>
        <w:rPr>
          <w:rFonts w:ascii="等线(中文正文)" w:hAnsi="等线(中文正文)" w:cs="等线(中文正文)" w:eastAsia="等线(中文正文)"/>
          <w:b w:val="false"/>
          <w:i w:val="false"/>
          <w:sz w:val="20"/>
        </w:rPr>
        <w:t/>
      </w:r>
    </w:p>
    <w:p>
      <w:pPr>
        <w:pStyle w:val="ab"/>
      </w:pPr>
      <w:r>
        <w:t>发言人1 问：银行板块的资金配置情况如何？</w:t>
      </w:r>
    </w:p>
    <w:p>
      <w:r>
        <w:rPr>
          <w:rFonts w:ascii="等线(中文正文)" w:hAnsi="等线(中文正文)" w:cs="等线(中文正文)" w:eastAsia="等线(中文正文)"/>
          <w:b w:val="false"/>
          <w:i w:val="false"/>
          <w:sz w:val="20"/>
        </w:rPr>
        <w:t>发言人1 答：一季度数据显示，保险基金和主动基金增持了银行股，而被动基金和北向资金则有减持现象。其中，保险基金因保费增长较快而加仓银行股，成为银行板块的重要增配资金来源。然而，被动基金规模收缩导致持仓占比下降，主动基金仍长期低配银行板块，北向资金连续三个季度减持银行板块。</w:t>
      </w:r>
    </w:p>
    <w:p>
      <w:r>
        <w:rPr>
          <w:rFonts w:ascii="等线(中文正文)" w:hAnsi="等线(中文正文)" w:cs="等线(中文正文)" w:eastAsia="等线(中文正文)"/>
          <w:b w:val="false"/>
          <w:i w:val="false"/>
          <w:sz w:val="20"/>
        </w:rPr>
        <w:t/>
      </w:r>
    </w:p>
    <w:p>
      <w:pPr>
        <w:pStyle w:val="ab"/>
      </w:pPr>
      <w:r>
        <w:t>发言人1 问：银行业一季度营收和利润表现如何？</w:t>
      </w:r>
    </w:p>
    <w:p>
      <w:r>
        <w:rPr>
          <w:rFonts w:ascii="等线(中文正文)" w:hAnsi="等线(中文正文)" w:cs="等线(中文正文)" w:eastAsia="等线(中文正文)"/>
          <w:b w:val="false"/>
          <w:i w:val="false"/>
          <w:sz w:val="20"/>
        </w:rPr>
        <w:t>发言人1 答：一季度上市银行营收改善、利润平稳，部分区域性银行盈利表现更优。营收同比增长7.6%，净利润同比增长约10%。息差负向贡献有所收窄，净利息收入增速改善，生息资产增速保持平稳，负债端成本改善，且不同类型银行间有所分化。此外，需要持续关注零售资产质量的变化和个股盈利差异，尤其是规模增长的不同。</w:t>
      </w:r>
    </w:p>
    <w:p>
      <w:r>
        <w:rPr>
          <w:rFonts w:ascii="等线(中文正文)" w:hAnsi="等线(中文正文)" w:cs="等线(中文正文)" w:eastAsia="等线(中文正文)"/>
          <w:b w:val="false"/>
          <w:i w:val="false"/>
          <w:sz w:val="20"/>
        </w:rPr>
        <w:t/>
      </w:r>
    </w:p>
    <w:p>
      <w:pPr>
        <w:pStyle w:val="ab"/>
      </w:pPr>
      <w:r>
        <w:t>发言人1 问：信贷增速放缓背景下，银行资产结构有何特点？</w:t>
      </w:r>
    </w:p>
    <w:p>
      <w:r>
        <w:rPr>
          <w:rFonts w:ascii="等线(中文正文)" w:hAnsi="等线(中文正文)" w:cs="等线(中文正文)" w:eastAsia="等线(中文正文)"/>
          <w:b w:val="false"/>
          <w:i w:val="false"/>
          <w:sz w:val="20"/>
        </w:rPr>
        <w:t>发言人1 答：信贷增速放缓至6%左右，而投资类资产增速较高，反映了经济结构变化和融资需求不足情况下，政府加杠杆拉动投资的现象。预计2026年信贷将持续同比少增，而社融增速仍依赖于政府债和企业债券等直接融资，银行业实际贷款规模预计维持在8%左右。对公和零售信贷增长格局未见显著改变，优质银行信贷投放相对薄弱，而部分城商行信贷增长较快可能得益于新证券类业务驱动。同时，存款搬家趋势明显，非银存款增加，一般性存款占比或结构有所下降。</w:t>
      </w:r>
    </w:p>
    <w:p>
      <w:r>
        <w:rPr>
          <w:rFonts w:ascii="等线(中文正文)" w:hAnsi="等线(中文正文)" w:cs="等线(中文正文)" w:eastAsia="等线(中文正文)"/>
          <w:b w:val="false"/>
          <w:i w:val="false"/>
          <w:sz w:val="20"/>
        </w:rPr>
        <w:t/>
      </w:r>
    </w:p>
    <w:p>
      <w:pPr>
        <w:pStyle w:val="ab"/>
      </w:pPr>
      <w:r>
        <w:t>发言人1 问：从负债结构和存贷增速差这个指标来看，国有行、股份行、城商行、农商行的负债满足度和规模增长策略有何不同？对于未来银行盈利增速的展望如何？</w:t>
      </w:r>
    </w:p>
    <w:p>
      <w:r>
        <w:rPr>
          <w:rFonts w:ascii="等线(中文正文)" w:hAnsi="等线(中文正文)" w:cs="等线(中文正文)" w:eastAsia="等线(中文正文)"/>
          <w:b w:val="false"/>
          <w:i w:val="false"/>
          <w:sz w:val="20"/>
        </w:rPr>
        <w:t>发言人1 答：国有行的贷款增速高于存款增速，这主要是由于国有行有更多政治信贷投放的任务，使得信贷增速不会明显下降。而股份行虽然存款增速相对较弱，但其存款增速并未受到显著影响，这可能是因为股份行通过财富管理、交易银行、投行等业务提升了自己的存款派生存量能力。预计2026年上市银行盈利增速有望比2025年略有提升，核心改善因子来自息差企稳、中收温和修复，但其他非利息收入贡献会下降。在不良成本方面，随着拨备支持力度加大，盈利增速有望维持小幅提升。同时，国有行和部分股份行由于股息率相对有吸引力，配置价值较为突出。</w:t>
      </w:r>
    </w:p>
    <w:p>
      <w:r>
        <w:rPr>
          <w:rFonts w:ascii="等线(中文正文)" w:hAnsi="等线(中文正文)" w:cs="等线(中文正文)" w:eastAsia="等线(中文正文)"/>
          <w:b w:val="false"/>
          <w:i w:val="false"/>
          <w:sz w:val="20"/>
        </w:rPr>
        <w:t/>
      </w:r>
    </w:p>
    <w:p>
      <w:pPr>
        <w:pStyle w:val="ab"/>
      </w:pPr>
      <w:r>
        <w:t>发言人1 问：目前净息差行业的共性是什么？净息差企稳的主要支撑因素有哪些？</w:t>
      </w:r>
    </w:p>
    <w:p>
      <w:r>
        <w:rPr>
          <w:rFonts w:ascii="等线(中文正文)" w:hAnsi="等线(中文正文)" w:cs="等线(中文正文)" w:eastAsia="等线(中文正文)"/>
          <w:b w:val="false"/>
          <w:i w:val="false"/>
          <w:sz w:val="20"/>
        </w:rPr>
        <w:t>发言人1 答：目前整个行业的净息差呈现阶段性企稳态势，同比降幅收窄至5个BP以内。其中，上市银行环比变动幅度在一到2个BP之间，主要原因是负债端成本持续改善以及资产端收益率降幅收窄。净息差未来企稳的主要支撑来自负债端成本改善和到期定期存款重定价释放的成本压力。从去年底开始的全年测算显示，这将带来12到15个BP的成本改善。</w:t>
      </w:r>
    </w:p>
    <w:p>
      <w:r>
        <w:rPr>
          <w:rFonts w:ascii="等线(中文正文)" w:hAnsi="等线(中文正文)" w:cs="等线(中文正文)" w:eastAsia="等线(中文正文)"/>
          <w:b w:val="false"/>
          <w:i w:val="false"/>
          <w:sz w:val="20"/>
        </w:rPr>
        <w:t/>
      </w:r>
    </w:p>
    <w:p>
      <w:pPr>
        <w:pStyle w:val="ab"/>
      </w:pPr>
      <w:r>
        <w:t>发言人1 问：资产端的情况如何？需要关注哪些风险点？</w:t>
      </w:r>
    </w:p>
    <w:p>
      <w:r>
        <w:rPr>
          <w:rFonts w:ascii="等线(中文正文)" w:hAnsi="等线(中文正文)" w:cs="等线(中文正文)" w:eastAsia="等线(中文正文)"/>
          <w:b w:val="false"/>
          <w:i w:val="false"/>
          <w:sz w:val="20"/>
        </w:rPr>
        <w:t>发言人1 答：资产端方面，政策利率年初以来未有明显变动，在LPR报价平稳背景下，银行新投放一般贷款利率整体持平，减轻了信贷类资产收益率下降的压力。但需关注信贷结构性问题，特别是中长期贷款增长情况可能受到企业直接融资和债券融资替代影响的风险。此外，非信贷类资产中，前期收益较高的AC账户资产到期再配的影响也值得关注。</w:t>
      </w:r>
    </w:p>
    <w:p>
      <w:r>
        <w:rPr>
          <w:rFonts w:ascii="等线(中文正文)" w:hAnsi="等线(中文正文)" w:cs="等线(中文正文)" w:eastAsia="等线(中文正文)"/>
          <w:b w:val="false"/>
          <w:i w:val="false"/>
          <w:sz w:val="20"/>
        </w:rPr>
        <w:t/>
      </w:r>
    </w:p>
    <w:p>
      <w:pPr>
        <w:pStyle w:val="ab"/>
      </w:pPr>
      <w:r>
        <w:t>发言人1 问：手续费和佣金净收入的情况如何？</w:t>
      </w:r>
    </w:p>
    <w:p>
      <w:r>
        <w:rPr>
          <w:rFonts w:ascii="等线(中文正文)" w:hAnsi="等线(中文正文)" w:cs="等线(中文正文)" w:eastAsia="等线(中文正文)"/>
          <w:b w:val="false"/>
          <w:i w:val="false"/>
          <w:sz w:val="20"/>
        </w:rPr>
        <w:t>发言人1 答：在2023年一季度，上市银行的手续费和佣金净收入同比增长5.8%，较上年同期提升6.5个百分点，主要原因是低基数效应及股票市场结构性回暖带来的基金代销收入改善。预计在低基数、股票市场结构性行情及存款搬家趋势的支撑下，2023年银行中收有望实现正增长，但个股间增速分化较大。</w:t>
      </w:r>
    </w:p>
    <w:p>
      <w:r>
        <w:rPr>
          <w:rFonts w:ascii="等线(中文正文)" w:hAnsi="等线(中文正文)" w:cs="等线(中文正文)" w:eastAsia="等线(中文正文)"/>
          <w:b w:val="false"/>
          <w:i w:val="false"/>
          <w:sz w:val="20"/>
        </w:rPr>
        <w:t/>
      </w:r>
    </w:p>
    <w:p>
      <w:pPr>
        <w:pStyle w:val="ab"/>
      </w:pPr>
      <w:r>
        <w:t>发言人1 问：对于非息收入和其他非利息收入的看法是什么？</w:t>
      </w:r>
    </w:p>
    <w:p>
      <w:r>
        <w:rPr>
          <w:rFonts w:ascii="等线(中文正文)" w:hAnsi="等线(中文正文)" w:cs="等线(中文正文)" w:eastAsia="等线(中文正文)"/>
          <w:b w:val="false"/>
          <w:i w:val="false"/>
          <w:sz w:val="20"/>
        </w:rPr>
        <w:t>发言人1 答：预计后续整体对非息收入的支撑会有限，因为利率市场低位箱体震荡，债券收益未见大幅下行，银行通过债券投资收益兑现实现盈利增长的空间受限。</w:t>
      </w:r>
    </w:p>
    <w:p>
      <w:r>
        <w:rPr>
          <w:rFonts w:ascii="等线(中文正文)" w:hAnsi="等线(中文正文)" w:cs="等线(中文正文)" w:eastAsia="等线(中文正文)"/>
          <w:b w:val="false"/>
          <w:i w:val="false"/>
          <w:sz w:val="20"/>
        </w:rPr>
        <w:t/>
      </w:r>
    </w:p>
    <w:p>
      <w:pPr>
        <w:pStyle w:val="ab"/>
      </w:pPr>
      <w:r>
        <w:t>发言人1 问：资产质量方面，不良率和关注率的变化情况如何？</w:t>
      </w:r>
    </w:p>
    <w:p>
      <w:r>
        <w:rPr>
          <w:rFonts w:ascii="等线(中文正文)" w:hAnsi="等线(中文正文)" w:cs="等线(中文正文)" w:eastAsia="等线(中文正文)"/>
          <w:b w:val="false"/>
          <w:i w:val="false"/>
          <w:sz w:val="20"/>
        </w:rPr>
        <w:t>发言人1 答：一季度末，上市银行不良率处于历年低位，但关注率环比上升2个BP至1.75%，连续第五个季度回升，显示银行业资产质量存在局部压力，尤其是零售风险暴露带来的压力。后续将密切关注零售不良贷款的压力情况。</w:t>
      </w:r>
    </w:p>
    <w:p>
      <w:r>
        <w:rPr>
          <w:rFonts w:ascii="等线(中文正文)" w:hAnsi="等线(中文正文)" w:cs="等线(中文正文)" w:eastAsia="等线(中文正文)"/>
          <w:b w:val="false"/>
          <w:i w:val="false"/>
          <w:sz w:val="20"/>
        </w:rPr>
        <w:t/>
      </w:r>
    </w:p>
    <w:p>
      <w:pPr>
        <w:pStyle w:val="ab"/>
      </w:pPr>
      <w:r>
        <w:t>发言人1 问：目前银行板块在保险资金配置中的情况如何？</w:t>
      </w:r>
    </w:p>
    <w:p>
      <w:r>
        <w:rPr>
          <w:rFonts w:ascii="等线(中文正文)" w:hAnsi="等线(中文正文)" w:cs="等线(中文正文)" w:eastAsia="等线(中文正文)"/>
          <w:b w:val="false"/>
          <w:i w:val="false"/>
          <w:sz w:val="20"/>
        </w:rPr>
        <w:t>发言人1 答：目前最新的双十一年平均预期股息率达到了3到4.9，相较于十年期国债收益率高出约300个BP。银行的点击率也上升至5.5%以上，这足以满足保险等绝对收益资金的收益率要求。同时，优质区域中小银行在信贷投放方面保持较高水平，业绩具有较大弹性，成长性较好，因此从保险资金角度看，这个配置现在比较突出。</w:t>
      </w:r>
    </w:p>
    <w:p>
      <w:r>
        <w:rPr>
          <w:rFonts w:ascii="等线(中文正文)" w:hAnsi="等线(中文正文)" w:cs="等线(中文正文)" w:eastAsia="等线(中文正文)"/>
          <w:b w:val="false"/>
          <w:i w:val="false"/>
          <w:sz w:val="20"/>
        </w:rPr>
        <w:t/>
      </w:r>
    </w:p>
    <w:p>
      <w:pPr>
        <w:pStyle w:val="ab"/>
      </w:pPr>
      <w:r>
        <w:t>发言人1 问：被动资金对银行板块的影响如何？</w:t>
      </w:r>
    </w:p>
    <w:p>
      <w:r>
        <w:rPr>
          <w:rFonts w:ascii="等线(中文正文)" w:hAnsi="等线(中文正文)" w:cs="等线(中文正文)" w:eastAsia="等线(中文正文)"/>
          <w:b w:val="false"/>
          <w:i w:val="false"/>
          <w:sz w:val="20"/>
        </w:rPr>
        <w:t>发言人1 答：上半年被动资金情绪较高，出现了较多减持主要分析型ETF的现象，尤其是对银行成本较高的部分进行了小幅度减持，导致沪深300和上证50挂钩的ETF资金规模分别下降了9236亿和1582亿，降幅较大。但从6月末的数据来看，即使假设全部减持，对于银行板块的影响也已显著减小，预计后续流出压力会边际减弱，特别是受益较大的高层电影行业有望迎来估值修复。</w:t>
      </w:r>
    </w:p>
    <w:p>
      <w:r>
        <w:rPr>
          <w:rFonts w:ascii="等线(中文正文)" w:hAnsi="等线(中文正文)" w:cs="等线(中文正文)" w:eastAsia="等线(中文正文)"/>
          <w:b w:val="false"/>
          <w:i w:val="false"/>
          <w:sz w:val="20"/>
        </w:rPr>
        <w:t/>
      </w:r>
    </w:p>
    <w:p>
      <w:pPr>
        <w:pStyle w:val="ab"/>
      </w:pPr>
      <w:r>
        <w:t>发言人1 问：主动基金对银行股持仓情况及后续展望如何？</w:t>
      </w:r>
    </w:p>
    <w:p>
      <w:r>
        <w:rPr>
          <w:rFonts w:ascii="等线(中文正文)" w:hAnsi="等线(中文正文)" w:cs="等线(中文正文)" w:eastAsia="等线(中文正文)"/>
          <w:b w:val="false"/>
          <w:i w:val="false"/>
          <w:sz w:val="20"/>
        </w:rPr>
        <w:t>发言人1 答：一季度末，主动偏置基金和增强银行股的市值占比为2.06%，环比年初上升0.17个百分点，相较于流通市值权重仍明显欠配，目前持仓比例处于历史高位。预计在保费平稳增长和保险公司稳定高股息配置需求的支持下，银行板块将持续受到政策支撑；另外，资金面压力也将逐步减小，整体上银行估值有望得到修复和提升。</w:t>
      </w:r>
    </w:p>
    <w:p>
      <w:r>
        <w:rPr>
          <w:rFonts w:ascii="等线(中文正文)" w:hAnsi="等线(中文正文)" w:cs="等线(中文正文)" w:eastAsia="等线(中文正文)"/>
          <w:b w:val="false"/>
          <w:i w:val="false"/>
          <w:sz w:val="20"/>
        </w:rPr>
        <w:t/>
      </w:r>
    </w:p>
    <w:p>
      <w:pPr>
        <w:pStyle w:val="ab"/>
      </w:pPr>
      <w:r>
        <w:t>发言人1 问：对于银行板块中期策略的投资主线建议是什么？</w:t>
      </w:r>
    </w:p>
    <w:p>
      <w:r>
        <w:rPr>
          <w:rFonts w:ascii="等线(中文正文)" w:hAnsi="等线(中文正文)" w:cs="等线(中文正文)" w:eastAsia="等线(中文正文)"/>
          <w:b w:val="false"/>
          <w:i w:val="false"/>
          <w:sz w:val="20"/>
        </w:rPr>
        <w:t>发言人1 答：建议关注两条主线：一是顺周期主线，重点关注资产投放景气度高、业绩弹性大的优质区域中小行，如宁波、杭州、江苏以及齐鲁、长春银行；二是稳健的价值线，鉴于利率偏低，中长线资金对稳定高股息的需求较强，建议关注国有大行的估值优势。</w:t>
      </w:r>
    </w:p>
    <w:p>
      <w:r>
        <w:rPr>
          <w:rFonts w:ascii="等线(中文正文)" w:hAnsi="等线(中文正文)" w:cs="等线(中文正文)" w:eastAsia="等线(中文正文)"/>
          <w:b w:val="false"/>
          <w:i w:val="false"/>
          <w:sz w:val="20"/>
        </w:rPr>
        <w:t/>
      </w:r>
    </w:p>
    <w:p>
      <w:pPr>
        <w:pStyle w:val="ab"/>
      </w:pPr>
      <w:r>
        <w:t>发言人1 问：证券行业2026年中期投资展望如何？</w:t>
      </w:r>
    </w:p>
    <w:p>
      <w:r>
        <w:rPr>
          <w:rFonts w:ascii="等线(中文正文)" w:hAnsi="等线(中文正文)" w:cs="等线(中文正文)" w:eastAsia="等线(中文正文)"/>
          <w:b w:val="false"/>
          <w:i w:val="false"/>
          <w:sz w:val="20"/>
        </w:rPr>
        <w:t>发言人1 答：上半年证券板块行情呈现区间震荡先抑后扬的特点，整体跑输核心宽基指数，但在顺周期板块中表现相对靠前，优于保险和多元金融板块。从个股走势看，分化巨大，部分科技龙头参股的券商表现优异，如华安证券等。政策方面，上半年对证券行业的直接影响相对较小，但整体宏观经济和行业发展趋势仍有明确支持。下半年政策预期较为乐观，若资本市场持续向好，将有利于证券行业的投行业务、直投业务及投资业务的发展，同时可能带来诸如杠杆提升、资本利用效率提高等方面的政策支持，从而推动业绩和估值改善。此外，交投活跃度提升和两融余额的增长也预示着未来市场积极乐观的趋势。</w:t>
      </w:r>
    </w:p>
    <w:p>
      <w:r>
        <w:rPr>
          <w:rFonts w:ascii="等线(中文正文)" w:hAnsi="等线(中文正文)" w:cs="等线(中文正文)" w:eastAsia="等线(中文正文)"/>
          <w:b w:val="false"/>
          <w:i w:val="false"/>
          <w:sz w:val="20"/>
        </w:rPr>
        <w:t/>
      </w:r>
    </w:p>
    <w:p>
      <w:pPr>
        <w:pStyle w:val="ab"/>
      </w:pPr>
      <w:r>
        <w:t>发言人1 问：居民资产配置结构的持续调整对资本市场有何影响？</w:t>
      </w:r>
    </w:p>
    <w:p>
      <w:r>
        <w:rPr>
          <w:rFonts w:ascii="等线(中文正文)" w:hAnsi="等线(中文正文)" w:cs="等线(中文正文)" w:eastAsia="等线(中文正文)"/>
          <w:b w:val="false"/>
          <w:i w:val="false"/>
          <w:sz w:val="20"/>
        </w:rPr>
        <w:t>发言人1 答：居民资产配置结构的持续调整表现为存款和房地产投资的下行，更多资金会从传统储蓄和房地产投资领域流向资本市场。这种趋势在投资者通过资本市场反馈获得收益后会形成正向循环，促使中长期资金持续进场并进行全市场布局。如果市场持续有好的表现，大规模的资金如居民储蓄资金和房地产相关资金可能会进一步大规模进入资本市场。</w:t>
      </w:r>
    </w:p>
    <w:p>
      <w:r>
        <w:rPr>
          <w:rFonts w:ascii="等线(中文正文)" w:hAnsi="等线(中文正文)" w:cs="等线(中文正文)" w:eastAsia="等线(中文正文)"/>
          <w:b w:val="false"/>
          <w:i w:val="false"/>
          <w:sz w:val="20"/>
        </w:rPr>
        <w:t/>
      </w:r>
    </w:p>
    <w:p>
      <w:pPr>
        <w:pStyle w:val="ab"/>
      </w:pPr>
      <w:r>
        <w:t>发言人1 问：公募基金和证券行业之间存在怎样的关联？</w:t>
      </w:r>
    </w:p>
    <w:p>
      <w:r>
        <w:rPr>
          <w:rFonts w:ascii="等线(中文正文)" w:hAnsi="等线(中文正文)" w:cs="等线(中文正文)" w:eastAsia="等线(中文正文)"/>
          <w:b w:val="false"/>
          <w:i w:val="false"/>
          <w:sz w:val="20"/>
        </w:rPr>
        <w:t>发言人1 答：公募基金规模的增长趋势将带动证券行业持续受益。证券公司参股或控股的优秀公募基金表现将带动其自身规模和利润的增长，反哺证券行业。同时，证券行业长期致力于为公募基金打开流量入口，将资源持续投入公募基金领域，随着公募基金市场关注度提升及资金持续流入，将进一步支撑证券行业发展。</w:t>
      </w:r>
    </w:p>
    <w:p>
      <w:r>
        <w:rPr>
          <w:rFonts w:ascii="等线(中文正文)" w:hAnsi="等线(中文正文)" w:cs="等线(中文正文)" w:eastAsia="等线(中文正文)"/>
          <w:b w:val="false"/>
          <w:i w:val="false"/>
          <w:sz w:val="20"/>
        </w:rPr>
        <w:t/>
      </w:r>
    </w:p>
    <w:p>
      <w:pPr>
        <w:pStyle w:val="ab"/>
      </w:pPr>
      <w:r>
        <w:t>发言人1 问：ETF和券业模式对券商财务管理有何影响？</w:t>
      </w:r>
    </w:p>
    <w:p>
      <w:r>
        <w:rPr>
          <w:rFonts w:ascii="等线(中文正文)" w:hAnsi="等线(中文正文)" w:cs="等线(中文正文)" w:eastAsia="等线(中文正文)"/>
          <w:b w:val="false"/>
          <w:i w:val="false"/>
          <w:sz w:val="20"/>
        </w:rPr>
        <w:t>发言人1 答：ETF投资规模的增长为券商财务管理提供了持续支持，而券业模式的规模增长则使得券商利润兑现更为直接且可控，有利于券商精细化管理及财务管理转型。</w:t>
      </w:r>
    </w:p>
    <w:p>
      <w:r>
        <w:rPr>
          <w:rFonts w:ascii="等线(中文正文)" w:hAnsi="等线(中文正文)" w:cs="等线(中文正文)" w:eastAsia="等线(中文正文)"/>
          <w:b w:val="false"/>
          <w:i w:val="false"/>
          <w:sz w:val="20"/>
        </w:rPr>
        <w:t/>
      </w:r>
    </w:p>
    <w:p>
      <w:pPr>
        <w:pStyle w:val="ab"/>
      </w:pPr>
      <w:r>
        <w:t>发言人1 问：券商各业务板块如何受市场环境影响？</w:t>
      </w:r>
    </w:p>
    <w:p>
      <w:r>
        <w:rPr>
          <w:rFonts w:ascii="等线(中文正文)" w:hAnsi="等线(中文正文)" w:cs="等线(中文正文)" w:eastAsia="等线(中文正文)"/>
          <w:b w:val="false"/>
          <w:i w:val="false"/>
          <w:sz w:val="20"/>
        </w:rPr>
        <w:t>发言人1 答：对于券商而言，当前阶段财务管理转型的力度和广度是核心关注点，具有确定性和成长性。中收业务中，代销金融产品的增长有助于缓解经纪业务收入压力，尤其是对于头部券商。投行业务方面，科创板政策支持和成交规模放量将推动整体投行业务活跃；而自营板块则呈现明显的马太效应对业绩表现和估值有重大影响，需要精细化投资策略以提升潜在收益水平。</w:t>
      </w:r>
    </w:p>
    <w:p>
      <w:r>
        <w:rPr>
          <w:rFonts w:ascii="等线(中文正文)" w:hAnsi="等线(中文正文)" w:cs="等线(中文正文)" w:eastAsia="等线(中文正文)"/>
          <w:b w:val="false"/>
          <w:i w:val="false"/>
          <w:sz w:val="20"/>
        </w:rPr>
        <w:t/>
      </w:r>
    </w:p>
    <w:p>
      <w:pPr>
        <w:pStyle w:val="ab"/>
      </w:pPr>
      <w:r>
        <w:t>发言人1 问：下半年对于券商板块投资有何建议？</w:t>
      </w:r>
    </w:p>
    <w:p>
      <w:r>
        <w:rPr>
          <w:rFonts w:ascii="等线(中文正文)" w:hAnsi="等线(中文正文)" w:cs="等线(中文正文)" w:eastAsia="等线(中文正文)"/>
          <w:b w:val="false"/>
          <w:i w:val="false"/>
          <w:sz w:val="20"/>
        </w:rPr>
        <w:t>发言人1 答：下半年建议进一步加码对头部券商的投资比例，并关注券商参与的科创龙头及EF投资。流动性的边际改善趋势下，应合理拥抱交易活跃带来的机会，同时注意存量博弈的风险。关注头部券商业绩的持续兑现，以及与双创等潜在科创龙头的业绩绑定。另外，对于机构投资者来说，更倾向于投资具有明确投资标的、高权益占比的券商，以及持续修复估值和业绩兑现趋势的券商。并购重组仍是未来几年清晰的主线，但兑现速度可能不及市场预期，适合中长期布局考量。</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2026-07-01T14:35:53Z</dcterms:created>
  <dc:creator>Apache POI</dc:creator>
</cp:coreProperties>
</file>