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华创固收 - 7月债市展望——周观点系列会议313期 260629_导读</w:t>
      </w:r>
    </w:p>
    <w:p>
      <w:pPr>
        <w:pStyle w:val="a0"/>
        <w:jc w:val="center"/>
      </w:pPr>
      <w:r>
        <w:t>2026年06月29日 22:05</w:t>
      </w:r>
    </w:p>
    <w:p>
      <w:pPr>
        <w:pStyle w:val="a7"/>
      </w:pPr>
      <w:r>
        <w:t>关键词</w:t>
      </w:r>
    </w:p>
    <w:p>
      <w:r>
        <w:rPr>
          <w:rFonts w:ascii="等线(中文正文)" w:hAnsi="等线(中文正文)" w:cs="等线(中文正文)" w:eastAsia="等线(中文正文)"/>
          <w:b w:val="false"/>
          <w:i w:val="false"/>
          <w:sz w:val="20"/>
        </w:rPr>
        <w:t xml:space="preserve">利率 债券市场 资金价格 货币政策 政府债券 GDP数据 财政缴税 存单价格 麻辣粉 信用品种 期限利差 机构行为 货币条件 供需结构 稳增长政策 政策利率 资金波动 债券收益 信用策略 下沉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七月份债券市场展望呈现分化态势，整体条件对债券市场有利，受资金条件和基本面影响。政府债券供给增加、货币政策调整及信用市场挑战，特别是评级调整，对市场产生影响。信用板块中，评级调整风险凸显，可能引发估值调整，但也可能创造交易机会。转债市场五月份以来调整明显，投资者应关注偏债型转债的信用风险，寻找性价比高的投资机会。总体而言，市场趋势分析、风险提示和投资策略强调了市场条件、政策环境及评级调整的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七月份债券市场展望：利率、信用与转债分析</w:t>
      </w:r>
    </w:p>
    <w:p>
      <w:r>
        <w:rPr>
          <w:rFonts w:ascii="等线(中文正文)" w:hAnsi="等线(中文正文)" w:cs="等线(中文正文)" w:eastAsia="等线(中文正文)"/>
          <w:b w:val="false"/>
          <w:i w:val="false"/>
          <w:sz w:val="20"/>
        </w:rPr>
        <w:t>会议讨论了七月份债券市场的预期，指出理财规模放量和资金条件有利于债市，但债券估值低可能引发市场波动，需关注潜在利空因素。信用市场方面，第三季度信用债表现预期强劲，转债市场则可能呈现区间震荡趋势，建议关注高性价比个券和行业配置机会。</w:t>
      </w:r>
    </w:p>
    <w:p>
      <w:r>
        <w:rPr>
          <w:rFonts w:ascii="等线(中文正文)" w:hAnsi="等线(中文正文)" w:cs="等线(中文正文)" w:eastAsia="等线(中文正文)"/>
          <w:b w:val="false"/>
          <w:i w:val="false"/>
          <w:sz w:val="20"/>
        </w:rPr>
        <w:t/>
      </w:r>
    </w:p>
    <w:p>
      <w:pPr>
        <w:pStyle w:val="ab"/>
        <w:numPr>
          <w:numId w:val="2"/>
        </w:numPr>
      </w:pPr>
      <w:r>
        <w:t>03:19 政府债券供给与政策实施力度对市场的影响</w:t>
      </w:r>
    </w:p>
    <w:p>
      <w:r>
        <w:rPr>
          <w:rFonts w:ascii="等线(中文正文)" w:hAnsi="等线(中文正文)" w:cs="等线(中文正文)" w:eastAsia="等线(中文正文)"/>
          <w:b w:val="false"/>
          <w:i w:val="false"/>
          <w:sz w:val="20"/>
        </w:rPr>
        <w:t>对话讨论了政府债券供给逐步放量对市场的影响，特别是三季度供需结构边际转换的重要性。同时，分析了二季度经济数据偏弱背景下，三季度政策实施力度加速的可能性，包括政府债券发行和基建投资的边际企稳。预计七月份政治局会议新增政策有限，但已有政策加速推进将影响市场情绪，基建投资数据的修复值得持续关注。</w:t>
      </w:r>
    </w:p>
    <w:p>
      <w:r>
        <w:rPr>
          <w:rFonts w:ascii="等线(中文正文)" w:hAnsi="等线(中文正文)" w:cs="等线(中文正文)" w:eastAsia="等线(中文正文)"/>
          <w:b w:val="false"/>
          <w:i w:val="false"/>
          <w:sz w:val="20"/>
        </w:rPr>
        <w:t/>
      </w:r>
    </w:p>
    <w:p>
      <w:pPr>
        <w:pStyle w:val="ab"/>
        <w:numPr>
          <w:numId w:val="3"/>
        </w:numPr>
      </w:pPr>
      <w:r>
        <w:t>05:15 央行货币政策与资金价格对债券市场的影响分析</w:t>
      </w:r>
    </w:p>
    <w:p>
      <w:r>
        <w:rPr>
          <w:rFonts w:ascii="等线(中文正文)" w:hAnsi="等线(中文正文)" w:cs="等线(中文正文)" w:eastAsia="等线(中文正文)"/>
          <w:b w:val="false"/>
          <w:i w:val="false"/>
          <w:sz w:val="20"/>
        </w:rPr>
        <w:t>对话讨论了央行货币政策改革、资金价格变化及其对债券市场的影响。指出七天逆回购仍是政策利率，隔夜利率对市场指引关键，需关注资金价格和银行主动负债变化。七月份资金压力显现，政府债券发行增加，资金价格难以回到4-5月的极度宽松状态。</w:t>
      </w:r>
    </w:p>
    <w:p>
      <w:r>
        <w:rPr>
          <w:rFonts w:ascii="等线(中文正文)" w:hAnsi="等线(中文正文)" w:cs="等线(中文正文)" w:eastAsia="等线(中文正文)"/>
          <w:b w:val="false"/>
          <w:i w:val="false"/>
          <w:sz w:val="20"/>
        </w:rPr>
        <w:t/>
      </w:r>
    </w:p>
    <w:p>
      <w:pPr>
        <w:pStyle w:val="ab"/>
        <w:numPr>
          <w:numId w:val="4"/>
        </w:numPr>
      </w:pPr>
      <w:r>
        <w:t>10:45 七月份债券市场供需分析与操作策略</w:t>
      </w:r>
    </w:p>
    <w:p>
      <w:r>
        <w:rPr>
          <w:rFonts w:ascii="等线(中文正文)" w:hAnsi="等线(中文正文)" w:cs="等线(中文正文)" w:eastAsia="等线(中文正文)"/>
          <w:b w:val="false"/>
          <w:i w:val="false"/>
          <w:sz w:val="20"/>
        </w:rPr>
        <w:t>对话深入分析了七月份债券市场的供需结构变化，强调了高频跟踪政府债券发行与资金影响的重要性。指出七月份供需压力虽略有上升，但整体环境向好，建议投资者在短期灵活参与资金预期博弈，中期关注利差突破进行止盈操作。同时，提到监管指导下的3A占比压降可能带来的市场机会，鼓励持续跟踪信用下沉策略，寻找利差凸点，以优化投资布局。</w:t>
      </w:r>
    </w:p>
    <w:p>
      <w:r>
        <w:rPr>
          <w:rFonts w:ascii="等线(中文正文)" w:hAnsi="等线(中文正文)" w:cs="等线(中文正文)" w:eastAsia="等线(中文正文)"/>
          <w:b w:val="false"/>
          <w:i w:val="false"/>
          <w:sz w:val="20"/>
        </w:rPr>
        <w:t/>
      </w:r>
    </w:p>
    <w:p>
      <w:pPr>
        <w:pStyle w:val="ab"/>
        <w:numPr>
          <w:numId w:val="5"/>
        </w:numPr>
      </w:pPr>
      <w:r>
        <w:t>16:48 七月份信用策略：控制久期，优选中短端</w:t>
      </w:r>
    </w:p>
    <w:p>
      <w:r>
        <w:rPr>
          <w:rFonts w:ascii="等线(中文正文)" w:hAnsi="等线(中文正文)" w:cs="等线(中文正文)" w:eastAsia="等线(中文正文)"/>
          <w:b w:val="false"/>
          <w:i w:val="false"/>
          <w:sz w:val="20"/>
        </w:rPr>
        <w:t>策略建议七月份调整组合，从长端切换至中短端，控制久期和杠杆，提高流动性。静态收益测算显示，短期品种更具优势，长期品种在收益率上行时表现不佳。不建议低位追配低等级资产，但可抓住调整机会进行加仓。</w:t>
      </w:r>
    </w:p>
    <w:p>
      <w:r>
        <w:rPr>
          <w:rFonts w:ascii="等线(中文正文)" w:hAnsi="等线(中文正文)" w:cs="等线(中文正文)" w:eastAsia="等线(中文正文)"/>
          <w:b w:val="false"/>
          <w:i w:val="false"/>
          <w:sz w:val="20"/>
        </w:rPr>
        <w:t/>
      </w:r>
    </w:p>
    <w:p>
      <w:pPr>
        <w:pStyle w:val="ab"/>
        <w:numPr>
          <w:numId w:val="6"/>
        </w:numPr>
      </w:pPr>
      <w:r>
        <w:t>20:14 二元板块交易价值与风险提示</w:t>
      </w:r>
    </w:p>
    <w:p>
      <w:r>
        <w:rPr>
          <w:rFonts w:ascii="等线(中文正文)" w:hAnsi="等线(中文正文)" w:cs="等线(中文正文)" w:eastAsia="等线(中文正文)"/>
          <w:b w:val="false"/>
          <w:i w:val="false"/>
          <w:sz w:val="20"/>
        </w:rPr>
        <w:t>讨论了低利率环境下二元板块的交易价值，包括超利差的震荡压缩趋势及利率放大器特征，同时提出了参与该板块需警惕的交易型资金浮盈和保险配置量有限的风险，并给出了七月份策略展望，建议中长久期二元债逐步止盈，关注优质城市商行债券，以及配置属性为主的长久期信用债可选成交活跃度高的个券短期参与。</w:t>
      </w:r>
    </w:p>
    <w:p>
      <w:r>
        <w:rPr>
          <w:rFonts w:ascii="等线(中文正文)" w:hAnsi="等线(中文正文)" w:cs="等线(中文正文)" w:eastAsia="等线(中文正文)"/>
          <w:b w:val="false"/>
          <w:i w:val="false"/>
          <w:sz w:val="20"/>
        </w:rPr>
        <w:t/>
      </w:r>
    </w:p>
    <w:p>
      <w:pPr>
        <w:pStyle w:val="ab"/>
        <w:numPr>
          <w:numId w:val="7"/>
        </w:numPr>
      </w:pPr>
      <w:r>
        <w:t>24:57 七月份信用策略展望与评级调整分析</w:t>
      </w:r>
    </w:p>
    <w:p>
      <w:r>
        <w:rPr>
          <w:rFonts w:ascii="等线(中文正文)" w:hAnsi="等线(中文正文)" w:cs="等线(中文正文)" w:eastAsia="等线(中文正文)"/>
          <w:b w:val="false"/>
          <w:i w:val="false"/>
          <w:sz w:val="20"/>
        </w:rPr>
        <w:t>针对七月份信用策略，提出利用时间窗口兑现资本利得，建议关注97品种，优选3年以内产品，重视票息收益；中长端特别是二级资本债应适时落袋为安，长久期朴信债待赔率修复后择机配置。随后，将讨论近期备受关注的评级调整相关内容。</w:t>
      </w:r>
    </w:p>
    <w:p>
      <w:r>
        <w:rPr>
          <w:rFonts w:ascii="等线(中文正文)" w:hAnsi="等线(中文正文)" w:cs="等线(中文正文)" w:eastAsia="等线(中文正文)"/>
          <w:b w:val="false"/>
          <w:i w:val="false"/>
          <w:sz w:val="20"/>
        </w:rPr>
        <w:t/>
      </w:r>
    </w:p>
    <w:p>
      <w:pPr>
        <w:pStyle w:val="ab"/>
        <w:numPr>
          <w:numId w:val="8"/>
        </w:numPr>
      </w:pPr>
      <w:r>
        <w:t>26:06 评级调整风险分析与市场影响</w:t>
      </w:r>
    </w:p>
    <w:p>
      <w:r>
        <w:rPr>
          <w:rFonts w:ascii="等线(中文正文)" w:hAnsi="等线(中文正文)" w:cs="等线(中文正文)" w:eastAsia="等线(中文正文)"/>
          <w:b w:val="false"/>
          <w:i w:val="false"/>
          <w:sz w:val="20"/>
        </w:rPr>
        <w:t>对话深入探讨了今年以来的评级调整情况，包括主体评级调降、展望负面调整、观察名单列入、推迟跟踪评级及评级终止等现象，特别关注了高利差3A主体的评级变动及其市场影响，强调了评级调整对债券估值的潜在风险。</w:t>
      </w:r>
    </w:p>
    <w:p>
      <w:r>
        <w:rPr>
          <w:rFonts w:ascii="等线(中文正文)" w:hAnsi="等线(中文正文)" w:cs="等线(中文正文)" w:eastAsia="等线(中文正文)"/>
          <w:b w:val="false"/>
          <w:i w:val="false"/>
          <w:sz w:val="20"/>
        </w:rPr>
        <w:t/>
      </w:r>
    </w:p>
    <w:p>
      <w:pPr>
        <w:pStyle w:val="ab"/>
        <w:numPr>
          <w:numId w:val="9"/>
        </w:numPr>
      </w:pPr>
      <w:r>
        <w:t>30:19 高利差主体评级调整及其市场影响分析</w:t>
      </w:r>
    </w:p>
    <w:p>
      <w:r>
        <w:rPr>
          <w:rFonts w:ascii="等线(中文正文)" w:hAnsi="等线(中文正文)" w:cs="等线(中文正文)" w:eastAsia="等线(中文正文)"/>
          <w:b w:val="false"/>
          <w:i w:val="false"/>
          <w:sz w:val="20"/>
        </w:rPr>
        <w:t>对话聚焦于高利差主体评级调整的现状与市场影响，指出25年以来利差超200BP的3A主体面临调整压力，其中部分主体评级被终止或调整，市场对评级变化反应不一，地产板块受影响较大。展望未来，监管层对高利差主体态度强硬，后续评级调整需密切关注，非标舆情亦成考量因素。</w:t>
      </w:r>
    </w:p>
    <w:p>
      <w:r>
        <w:rPr>
          <w:rFonts w:ascii="等线(中文正文)" w:hAnsi="等线(中文正文)" w:cs="等线(中文正文)" w:eastAsia="等线(中文正文)"/>
          <w:b w:val="false"/>
          <w:i w:val="false"/>
          <w:sz w:val="20"/>
        </w:rPr>
        <w:t/>
      </w:r>
    </w:p>
    <w:p>
      <w:pPr>
        <w:pStyle w:val="ab"/>
        <w:numPr>
          <w:numId w:val="10"/>
        </w:numPr>
      </w:pPr>
      <w:r>
        <w:t>36:11 偏债型转债市场变化与交易机会分析</w:t>
      </w:r>
    </w:p>
    <w:p>
      <w:r>
        <w:rPr>
          <w:rFonts w:ascii="等线(中文正文)" w:hAnsi="等线(中文正文)" w:cs="等线(中文正文)" w:eastAsia="等线(中文正文)"/>
          <w:b w:val="false"/>
          <w:i w:val="false"/>
          <w:sz w:val="20"/>
        </w:rPr>
        <w:t>讨论了偏债型转债自五月初至六月底的市场表现及原因，包括信贷数据疲软、股市预期下调等因素导致的调整，并分析了未来交易机会与潜在陷阱，指出偏债型转债波动性增大，需关注估值修复机会。</w:t>
      </w:r>
    </w:p>
    <w:p>
      <w:r>
        <w:rPr>
          <w:rFonts w:ascii="等线(中文正文)" w:hAnsi="等线(中文正文)" w:cs="等线(中文正文)" w:eastAsia="等线(中文正文)"/>
          <w:b w:val="false"/>
          <w:i w:val="false"/>
          <w:sz w:val="20"/>
        </w:rPr>
        <w:t/>
      </w:r>
    </w:p>
    <w:p>
      <w:pPr>
        <w:pStyle w:val="ab"/>
        <w:numPr>
          <w:numId w:val="11"/>
        </w:numPr>
      </w:pPr>
      <w:r>
        <w:t>40:05 偏债型转债市场分化与调整分析</w:t>
      </w:r>
    </w:p>
    <w:p>
      <w:r>
        <w:rPr>
          <w:rFonts w:ascii="等线(中文正文)" w:hAnsi="等线(中文正文)" w:cs="等线(中文正文)" w:eastAsia="等线(中文正文)"/>
          <w:b w:val="false"/>
          <w:i w:val="false"/>
          <w:sz w:val="20"/>
        </w:rPr>
        <w:t>对话深入探讨了偏债型转债市场在五月初后的显著分化现象，指出临期转债调整幅度大于长久期转债，且短久期转债受资金面影响较大，出现明显承压。此外，五月下旬TMT行情集中及信用担忧加剧导致部分偏债型转债加速下行。分析认为，长久期转债因转股预期高而受期权价值影响，而短久期转债定价更偏向债性和交易属性。针对信用瑕疵转债，市场虽有调整但认为存在交易机会，而对于无信用担忧的抵舱券，则认为下半年修复难度较大。整体上，市场调整提供了优中择优的配置机会，但配置需谨慎考虑估值陷阱及公司承担能力。</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首先介绍了华创固收团队在每周周观点交流会上对七月份债券市场的整体展望，强调了市场的积极因素，包括利率、信用和转债板块的乐观预期，主要源于对内需条件的考量以及对货币市场不同理解。他指出，尽管二季度资管利差压缩，但央行操作未明显收紧市场资金，总体上对七月份市场持乐观态度，资金条件和基本面条件对债市友好。在利率市场，小幅度调整后，央行政策引导市场稳定，虽有潜在利空，但整体利好条件依旧。信用市场方面，评级调整和信用风险成为关注焦点，尤其是高利差3A评级主体的评级调降风险。转债市场，他分析了转债估值调整和交易机会，指出随着信用瑕疵清理，市场出现投资机会。整体而言，他强调在谨慎评估和选择下，投资者仍可在市场中找到机会，尽管面临挑战。</w:t>
      </w:r>
    </w:p>
    <w:p>
      <w:r>
        <w:rPr>
          <w:rFonts w:ascii="等线(中文正文)" w:hAnsi="等线(中文正文)" w:cs="等线(中文正文)" w:eastAsia="等线(中文正文)"/>
          <w:b w:val="false"/>
          <w:i w:val="false"/>
          <w:sz w:val="20"/>
        </w:rPr>
        <w:t/>
      </w:r>
    </w:p>
    <w:p>
      <w:pPr>
        <w:pStyle w:val="a7"/>
      </w:pPr>
      <w:r>
        <w:t>要点回顾</w:t>
      </w:r>
    </w:p>
    <w:p>
      <w:pPr>
        <w:pStyle w:val="ab"/>
      </w:pPr>
      <w:r>
        <w:t>对于七月份债券市场的整体展望，您首先从利率板块开始分析，对吧？</w:t>
      </w:r>
    </w:p>
    <w:p>
      <w:r>
        <w:rPr>
          <w:rFonts w:ascii="等线(中文正文)" w:hAnsi="等线(中文正文)" w:cs="等线(中文正文)" w:eastAsia="等线(中文正文)"/>
          <w:b w:val="false"/>
          <w:i w:val="false"/>
          <w:sz w:val="20"/>
        </w:rPr>
        <w:t>发言人1：是的，首先我来汇报一下对于利率市场的看法。进入七月份，从季节性角度看，债券市场表现相对平稳。理财规模在三季度有放量空间，这将对信用配置产生一定驱动作用。同时，当前利率处于震荡盘整期，是上下半年过渡窗口。虽然央行资金波动曾引起市场小幅调整，但整体上并未导致明显的资金收紧。因此，投资者基于对内需条件偏弱的理解以及货币市场不同看法，对近期行情有所期待。</w:t>
      </w:r>
    </w:p>
    <w:p>
      <w:r>
        <w:rPr>
          <w:rFonts w:ascii="等线(中文正文)" w:hAnsi="等线(中文正文)" w:cs="等线(中文正文)" w:eastAsia="等线(中文正文)"/>
          <w:b w:val="false"/>
          <w:i w:val="false"/>
          <w:sz w:val="20"/>
        </w:rPr>
        <w:t/>
      </w:r>
    </w:p>
    <w:p>
      <w:pPr>
        <w:pStyle w:val="ab"/>
      </w:pPr>
      <w:r>
        <w:t>资金层面对于短期市场的影响如何？</w:t>
      </w:r>
    </w:p>
    <w:p>
      <w:r>
        <w:rPr>
          <w:rFonts w:ascii="等线(中文正文)" w:hAnsi="等线(中文正文)" w:cs="等线(中文正文)" w:eastAsia="等线(中文正文)"/>
          <w:b w:val="false"/>
          <w:i w:val="false"/>
          <w:sz w:val="20"/>
        </w:rPr>
        <w:t>发言人1：资金方面，六月份资金价格回归政策利率附近，体现了央行主动回收流动性的效果。下半年银行融出预计会回到正常水平，观测指标将从银行融出转向银行存单净融资和存单价格变化。同时，需关注央行货币政策改革的推进及其操作，如麻辣粉招标、临时隔夜逆回购等。</w:t>
      </w:r>
    </w:p>
    <w:p>
      <w:r>
        <w:rPr>
          <w:rFonts w:ascii="等线(中文正文)" w:hAnsi="等线(中文正文)" w:cs="等线(中文正文)" w:eastAsia="等线(中文正文)"/>
          <w:b w:val="false"/>
          <w:i w:val="false"/>
          <w:sz w:val="20"/>
        </w:rPr>
        <w:t/>
      </w:r>
    </w:p>
    <w:p>
      <w:pPr>
        <w:pStyle w:val="ab"/>
      </w:pPr>
      <w:r>
        <w:t>那么，在资金条件方面，七月份对债券市场的影响如何？在潜在的利空因素方面，您认为有哪些值得关注的点？</w:t>
      </w:r>
    </w:p>
    <w:p>
      <w:r>
        <w:rPr>
          <w:rFonts w:ascii="等线(中文正文)" w:hAnsi="等线(中文正文)" w:cs="等线(中文正文)" w:eastAsia="等线(中文正文)"/>
          <w:b w:val="false"/>
          <w:i w:val="false"/>
          <w:sz w:val="20"/>
        </w:rPr>
        <w:t>发言人1：从资金条件看，七月份对债券市场较为有利。央行在六月末的操作，包括隔夜OMO的启动和较低利率水平，使得市场从六月中旬的资金波动中过渡到对资金价格进一步下行的预期。因此，基本面条件和资金条件都对七月份的债券市场较为友好。主要的潜在利空因素在于债券估值本身。随着央行对偿债利率关注度提升，当债券收入处在区间偏低位置时，若没有更大的想象空间，容易出现止盈和集中调仓操作，这会放大市场的波动并给收率下行带来阻力。</w:t>
      </w:r>
    </w:p>
    <w:p>
      <w:r>
        <w:rPr>
          <w:rFonts w:ascii="等线(中文正文)" w:hAnsi="等线(中文正文)" w:cs="等线(中文正文)" w:eastAsia="等线(中文正文)"/>
          <w:b w:val="false"/>
          <w:i w:val="false"/>
          <w:sz w:val="20"/>
        </w:rPr>
        <w:t/>
      </w:r>
    </w:p>
    <w:p>
      <w:pPr>
        <w:pStyle w:val="ab"/>
      </w:pPr>
      <w:r>
        <w:t>政府债券供给的变化对未来债券市场有何影响？</w:t>
      </w:r>
    </w:p>
    <w:p>
      <w:r>
        <w:rPr>
          <w:rFonts w:ascii="等线(中文正文)" w:hAnsi="等线(中文正文)" w:cs="等线(中文正文)" w:eastAsia="等线(中文正文)"/>
          <w:b w:val="false"/>
          <w:i w:val="false"/>
          <w:sz w:val="20"/>
        </w:rPr>
        <w:t>发言人1：政府债券供给将在三季度逐步放量，这将在中期层面带来供需结构边际转换的影响，值得重点关注。此外，二季度数据表现偏弱意味着三季度政策实施力度可能加速，包括政府债券发行和基建数据，这些都可能影响市场情绪。</w:t>
      </w:r>
    </w:p>
    <w:p>
      <w:r>
        <w:rPr>
          <w:rFonts w:ascii="等线(中文正文)" w:hAnsi="等线(中文正文)" w:cs="等线(中文正文)" w:eastAsia="等线(中文正文)"/>
          <w:b w:val="false"/>
          <w:i w:val="false"/>
          <w:sz w:val="20"/>
        </w:rPr>
        <w:t/>
      </w:r>
    </w:p>
    <w:p>
      <w:pPr>
        <w:pStyle w:val="ab"/>
      </w:pPr>
      <w:r>
        <w:t>对于七月份政治局会议可能新增的政策，您怎么看？</w:t>
      </w:r>
    </w:p>
    <w:p>
      <w:r>
        <w:rPr>
          <w:rFonts w:ascii="等线(中文正文)" w:hAnsi="等线(中文正文)" w:cs="等线(中文正文)" w:eastAsia="等线(中文正文)"/>
          <w:b w:val="false"/>
          <w:i w:val="false"/>
          <w:sz w:val="20"/>
        </w:rPr>
        <w:t>发言人1：预计七月份政治局会议新增政策不会太多，更多会聚焦已有政策的加速推进及实物工作量落实。基建投资数据修复是三季度值得关注的焦点，而消费层面则关注第三批新基建政策额度下发情况。</w:t>
      </w:r>
    </w:p>
    <w:p>
      <w:r>
        <w:rPr>
          <w:rFonts w:ascii="等线(中文正文)" w:hAnsi="等线(中文正文)" w:cs="等线(中文正文)" w:eastAsia="等线(中文正文)"/>
          <w:b w:val="false"/>
          <w:i w:val="false"/>
          <w:sz w:val="20"/>
        </w:rPr>
        <w:t/>
      </w:r>
    </w:p>
    <w:p>
      <w:pPr>
        <w:pStyle w:val="ab"/>
      </w:pPr>
      <w:r>
        <w:t>临时隔夜证券回购操作利率低于市场预期，对此您有何看法？</w:t>
      </w:r>
    </w:p>
    <w:p>
      <w:r>
        <w:rPr>
          <w:rFonts w:ascii="等线(中文正文)" w:hAnsi="等线(中文正文)" w:cs="等线(中文正文)" w:eastAsia="等线(中文正文)"/>
          <w:b w:val="false"/>
          <w:i w:val="false"/>
          <w:sz w:val="20"/>
        </w:rPr>
        <w:t>发言人1：虽然临时隔夜证券回购操作利率低于市场中性预期，但考虑到真实的操作利率水平，它主要是为了月末平抑资金波动的作用，与OMO7天逆回购价格拉开了一定差距。因此，货币条件跟踪仍以OMO7天作为政策利率参考，隔夜利率和其他短期逆回购操作则是流动性管理的补充措施。</w:t>
      </w:r>
    </w:p>
    <w:p>
      <w:r>
        <w:rPr>
          <w:rFonts w:ascii="等线(中文正文)" w:hAnsi="等线(中文正文)" w:cs="等线(中文正文)" w:eastAsia="等线(中文正文)"/>
          <w:b w:val="false"/>
          <w:i w:val="false"/>
          <w:sz w:val="20"/>
        </w:rPr>
        <w:t/>
      </w:r>
    </w:p>
    <w:p>
      <w:pPr>
        <w:pStyle w:val="ab"/>
      </w:pPr>
      <w:r>
        <w:t>在七月份，资金价格中枢水平大概会是什么样的？对于债券市场而言，哪些因素最为关键？</w:t>
      </w:r>
    </w:p>
    <w:p>
      <w:r>
        <w:rPr>
          <w:rFonts w:ascii="等线(中文正文)" w:hAnsi="等线(中文正文)" w:cs="等线(中文正文)" w:eastAsia="等线(中文正文)"/>
          <w:b w:val="false"/>
          <w:i w:val="false"/>
          <w:sz w:val="20"/>
        </w:rPr>
        <w:t>发言人1：在七月份，由于财政缴税和政府债券发行增量的影响，资金条件的中枢水平很难回到4、5月份的1.2隔夜、1.27天、1.3的位置。预计七天的价格可能在1.4到1.45左右，隔夜中枢价格大概在1.35到1.4左右。虽然央行在推进货币政策框架的传导和改革，但对债券市场的影响方面，七天逆回购目前依然是明确的唯一的政策利率参考。同时，隔夜的资金价格对于债券市场的定价起着决定性作用。</w:t>
      </w:r>
    </w:p>
    <w:p>
      <w:r>
        <w:rPr>
          <w:rFonts w:ascii="等线(中文正文)" w:hAnsi="等线(中文正文)" w:cs="等线(中文正文)" w:eastAsia="等线(中文正文)"/>
          <w:b w:val="false"/>
          <w:i w:val="false"/>
          <w:sz w:val="20"/>
        </w:rPr>
        <w:t/>
      </w:r>
    </w:p>
    <w:p>
      <w:pPr>
        <w:pStyle w:val="ab"/>
      </w:pPr>
      <w:r>
        <w:t>对于债券市场的整体环境及操作建议是什么？</w:t>
      </w:r>
    </w:p>
    <w:p>
      <w:r>
        <w:rPr>
          <w:rFonts w:ascii="等线(中文正文)" w:hAnsi="等线(中文正文)" w:cs="等线(中文正文)" w:eastAsia="等线(中文正文)"/>
          <w:b w:val="false"/>
          <w:i w:val="false"/>
          <w:sz w:val="20"/>
        </w:rPr>
        <w:t>发言人1：七月份债券市场整体环境向好，中性有利，但估值限制了债券收益下行空间。建议国债在OMO加30到50BP区间偏下沿位置窄幅波动，30减10期限利差围绕50BP左右区间波动。中期需关注三季度后政府债券发行放量的影响，并根据资金预期和市场变化灵活参与短期资金操作，适时止盈锁定上半年收益，为下半年操作留出空间。</w:t>
      </w:r>
    </w:p>
    <w:p>
      <w:r>
        <w:rPr>
          <w:rFonts w:ascii="等线(中文正文)" w:hAnsi="等线(中文正文)" w:cs="等线(中文正文)" w:eastAsia="等线(中文正文)"/>
          <w:b w:val="false"/>
          <w:i w:val="false"/>
          <w:sz w:val="20"/>
        </w:rPr>
        <w:t/>
      </w:r>
    </w:p>
    <w:p>
      <w:pPr>
        <w:pStyle w:val="ab"/>
      </w:pPr>
      <w:r>
        <w:t>短期来看，市场对于货币政策的态度及资金条件预期会有何变化？</w:t>
      </w:r>
    </w:p>
    <w:p>
      <w:r>
        <w:rPr>
          <w:rFonts w:ascii="等线(中文正文)" w:hAnsi="等线(中文正文)" w:cs="等线(中文正文)" w:eastAsia="等线(中文正文)"/>
          <w:b w:val="false"/>
          <w:i w:val="false"/>
          <w:sz w:val="20"/>
        </w:rPr>
        <w:t>发言人1：短期来看，由于隔夜OMO跨越窗口的操作，市场对于货币政策的态度及资金条件预期可能会有所向好，但最终还是要关注资金价格本身的变化以及银行主动负债存单的价格变化。</w:t>
      </w:r>
    </w:p>
    <w:p>
      <w:r>
        <w:rPr>
          <w:rFonts w:ascii="等线(中文正文)" w:hAnsi="等线(中文正文)" w:cs="等线(中文正文)" w:eastAsia="等线(中文正文)"/>
          <w:b w:val="false"/>
          <w:i w:val="false"/>
          <w:sz w:val="20"/>
        </w:rPr>
        <w:t/>
      </w:r>
    </w:p>
    <w:p>
      <w:pPr>
        <w:pStyle w:val="ab"/>
      </w:pPr>
      <w:r>
        <w:t>当前市场对于利率表现的预期及资金价格情况如何？</w:t>
      </w:r>
    </w:p>
    <w:p>
      <w:r>
        <w:rPr>
          <w:rFonts w:ascii="等线(中文正文)" w:hAnsi="等线(中文正文)" w:cs="等线(中文正文)" w:eastAsia="等线(中文正文)"/>
          <w:b w:val="false"/>
          <w:i w:val="false"/>
          <w:sz w:val="20"/>
        </w:rPr>
        <w:t>发言人1：在整体资管资金充裕和对资金预期乐观的背景下，利率表现维持震荡区间下限博弈，进一步下行需关注资金价格的有效回落。目前来看，资金价格回到政策利率水平以下难度较大。</w:t>
      </w:r>
    </w:p>
    <w:p>
      <w:r>
        <w:rPr>
          <w:rFonts w:ascii="等线(中文正文)" w:hAnsi="等线(中文正文)" w:cs="等线(中文正文)" w:eastAsia="等线(中文正文)"/>
          <w:b w:val="false"/>
          <w:i w:val="false"/>
          <w:sz w:val="20"/>
        </w:rPr>
        <w:t/>
      </w:r>
    </w:p>
    <w:p>
      <w:pPr>
        <w:pStyle w:val="ab"/>
      </w:pPr>
      <w:r>
        <w:t>政府债券发行情况如何，对市场资金压力有何影响？</w:t>
      </w:r>
    </w:p>
    <w:p>
      <w:r>
        <w:rPr>
          <w:rFonts w:ascii="等线(中文正文)" w:hAnsi="等线(中文正文)" w:cs="等线(中文正文)" w:eastAsia="等线(中文正文)"/>
          <w:b w:val="false"/>
          <w:i w:val="false"/>
          <w:sz w:val="20"/>
        </w:rPr>
        <w:t>发言人1：预计七月份政府债券发行量大约在1.5万亿左右，从七月开始，资金压力会逐步显现。建议高频跟踪政府债券发行预测，关注其对资金的影响。</w:t>
      </w:r>
    </w:p>
    <w:p>
      <w:r>
        <w:rPr>
          <w:rFonts w:ascii="等线(中文正文)" w:hAnsi="等线(中文正文)" w:cs="等线(中文正文)" w:eastAsia="等线(中文正文)"/>
          <w:b w:val="false"/>
          <w:i w:val="false"/>
          <w:sz w:val="20"/>
        </w:rPr>
        <w:t/>
      </w:r>
    </w:p>
    <w:p>
      <w:pPr>
        <w:pStyle w:val="ab"/>
      </w:pPr>
      <w:r>
        <w:t>七月份理财配置增量对债券市场有何影响？</w:t>
      </w:r>
    </w:p>
    <w:p>
      <w:r>
        <w:rPr>
          <w:rFonts w:ascii="等线(中文正文)" w:hAnsi="等线(中文正文)" w:cs="等线(中文正文)" w:eastAsia="等线(中文正文)"/>
          <w:b w:val="false"/>
          <w:i w:val="false"/>
          <w:sz w:val="20"/>
        </w:rPr>
        <w:t>发言人1：七月份理财规模增长带来的债券配置需求增加，将使得供需压力相较于二季度略有抬升，但信用品种的需求仍然存在，因此七月份供需结构对于信用品种较为有利。</w:t>
      </w:r>
    </w:p>
    <w:p>
      <w:r>
        <w:rPr>
          <w:rFonts w:ascii="等线(中文正文)" w:hAnsi="等线(中文正文)" w:cs="等线(中文正文)" w:eastAsia="等线(中文正文)"/>
          <w:b w:val="false"/>
          <w:i w:val="false"/>
          <w:sz w:val="20"/>
        </w:rPr>
        <w:t/>
      </w:r>
    </w:p>
    <w:p>
      <w:pPr>
        <w:pStyle w:val="ab"/>
      </w:pPr>
      <w:r>
        <w:t>在七月份如何进行债券市场的操作布局？</w:t>
      </w:r>
    </w:p>
    <w:p>
      <w:r>
        <w:rPr>
          <w:rFonts w:ascii="等线(中文正文)" w:hAnsi="等线(中文正文)" w:cs="等线(中文正文)" w:eastAsia="等线(中文正文)"/>
          <w:b w:val="false"/>
          <w:i w:val="false"/>
          <w:sz w:val="20"/>
        </w:rPr>
        <w:t>发言人1：七月份是上下半年债券市场的过渡期，前半段关注货币条件较好的交易窗口，后半段关注政府债券发行、资金条件边际变化以及稳增长政策发力后的基本面数据变化。根据不同的账户属性要求，在波动中寻找收益率高位或利用利差凸点进行调整布局。</w:t>
      </w:r>
    </w:p>
    <w:p>
      <w:r>
        <w:rPr>
          <w:rFonts w:ascii="等线(中文正文)" w:hAnsi="等线(中文正文)" w:cs="等线(中文正文)" w:eastAsia="等线(中文正文)"/>
          <w:b w:val="false"/>
          <w:i w:val="false"/>
          <w:sz w:val="20"/>
        </w:rPr>
        <w:t/>
      </w:r>
    </w:p>
    <w:p>
      <w:pPr>
        <w:pStyle w:val="ab"/>
      </w:pPr>
      <w:r>
        <w:t>七月份对于信用方面，您们有什么看法和建议？</w:t>
      </w:r>
    </w:p>
    <w:p>
      <w:r>
        <w:rPr>
          <w:rFonts w:ascii="等线(中文正文)" w:hAnsi="等线(中文正文)" w:cs="等线(中文正文)" w:eastAsia="等线(中文正文)"/>
          <w:b w:val="false"/>
          <w:i w:val="false"/>
          <w:sz w:val="20"/>
        </w:rPr>
        <w:t>发言人1：在七月份，我们建议平均公司压降3A占比，尤其是针对高利差的三维主体。由于监管指导带来的级别调整，可能会导致估值扰动，这反而可能创造错杀的机会，因此在下半年的下沉策略中值得重点跟踪和挖掘。此外，七月份通常是理财规模增长、利差收窄的时期，适合兑现前期资本利得并调整组合结构，由长端转向中短端。</w:t>
      </w:r>
    </w:p>
    <w:p>
      <w:r>
        <w:rPr>
          <w:rFonts w:ascii="等线(中文正文)" w:hAnsi="等线(中文正文)" w:cs="等线(中文正文)" w:eastAsia="等线(中文正文)"/>
          <w:b w:val="false"/>
          <w:i w:val="false"/>
          <w:sz w:val="20"/>
        </w:rPr>
        <w:t/>
      </w:r>
    </w:p>
    <w:p>
      <w:pPr>
        <w:pStyle w:val="ab"/>
      </w:pPr>
      <w:r>
        <w:t>对于一月份的信用策略，您们如何从节奏、久期和下沉三个层面来展开分析？</w:t>
      </w:r>
    </w:p>
    <w:p>
      <w:r>
        <w:rPr>
          <w:rFonts w:ascii="等线(中文正文)" w:hAnsi="等线(中文正文)" w:cs="等线(中文正文)" w:eastAsia="等线(中文正文)"/>
          <w:b w:val="false"/>
          <w:i w:val="false"/>
          <w:sz w:val="20"/>
        </w:rPr>
        <w:t>发言人1：节奏上，七月份是兑现资本利得和切换组合的好时机，因为通常利差会季节性收窄。久期上，当前阶段拉久期获取资本利得的空间大幅收窄，下半年建议以三年以内的中短端品种打底，控制久期和杠杆，提高账户流动性。至于下沉策略，由于信用利差已处于历史极低区间，性价比偏低，不建议在低位追配低等级流动性弱的品种，但在短端高票息资产需求较大的背景下，可抓住调整时的加仓机会。</w:t>
      </w:r>
    </w:p>
    <w:p>
      <w:r>
        <w:rPr>
          <w:rFonts w:ascii="等线(中文正文)" w:hAnsi="等线(中文正文)" w:cs="等线(中文正文)" w:eastAsia="等线(中文正文)"/>
          <w:b w:val="false"/>
          <w:i w:val="false"/>
          <w:sz w:val="20"/>
        </w:rPr>
        <w:t/>
      </w:r>
    </w:p>
    <w:p>
      <w:pPr>
        <w:pStyle w:val="ab"/>
      </w:pPr>
      <w:r>
        <w:t>关于二元板块，您们有何见解和风险提示？</w:t>
      </w:r>
    </w:p>
    <w:p>
      <w:r>
        <w:rPr>
          <w:rFonts w:ascii="等线(中文正文)" w:hAnsi="等线(中文正文)" w:cs="等线(中文正文)" w:eastAsia="等线(中文正文)"/>
          <w:b w:val="false"/>
          <w:i w:val="false"/>
          <w:sz w:val="20"/>
        </w:rPr>
        <w:t>发言人1：在低利率环境下，二元板块具有较好的交易价值，超利差整体呈现震荡压缩趋势，行情波动较大，提供了较好的收益空间。例如，1到2年的二级资本债相较于中票，超利差波动区间较小；9到10年的二级资本债在特定时期超利差甚至出现负值。然而，对于二元板块的参与，需要注意基金等交易型资金可能存在的长久期浮盈带来的增强持仓风险，以及保险机构在长端二级资本债配置上的缺位问题，后续调整时可能承受力不足。具体到策略上，对于中长久期的二元债，建议逐步适当止盈，尤其是长久期的。同时，可以适当下沉筛选优质城市商行的债券作为底仓品种，在超利差走扩到相对偏高水平时逢高配置。</w:t>
      </w:r>
    </w:p>
    <w:p>
      <w:r>
        <w:rPr>
          <w:rFonts w:ascii="等线(中文正文)" w:hAnsi="等线(中文正文)" w:cs="等线(中文正文)" w:eastAsia="等线(中文正文)"/>
          <w:b w:val="false"/>
          <w:i w:val="false"/>
          <w:sz w:val="20"/>
        </w:rPr>
        <w:t/>
      </w:r>
    </w:p>
    <w:p>
      <w:pPr>
        <w:pStyle w:val="ab"/>
      </w:pPr>
      <w:r>
        <w:t>对于当前长久期信用利差的情况以及投资策略，有何建议？</w:t>
      </w:r>
    </w:p>
    <w:p>
      <w:r>
        <w:rPr>
          <w:rFonts w:ascii="等线(中文正文)" w:hAnsi="等线(中文正文)" w:cs="等线(中文正文)" w:eastAsia="等线(中文正文)"/>
          <w:b w:val="false"/>
          <w:i w:val="false"/>
          <w:sz w:val="20"/>
        </w:rPr>
        <w:t>发言人1：当前长久期信用利差已经压缩至历史偏低水平，进一步博弈的赔率较低。但对于追求较高收益的机构，可以考虑选择成交活跃、流动性较好的个券进行短期参与。在七月份，理财配置建议参考去年低点附近进行止盈操作，即以去年最低点作为止盈点位。对于中长线配置基金，建议保持耐心，等待债市逆风阶段利差走扩至更高水平时再进行配置，以获取更充足的票息价值和安全边际。</w:t>
      </w:r>
    </w:p>
    <w:p>
      <w:r>
        <w:rPr>
          <w:rFonts w:ascii="等线(中文正文)" w:hAnsi="等线(中文正文)" w:cs="等线(中文正文)" w:eastAsia="等线(中文正文)"/>
          <w:b w:val="false"/>
          <w:i w:val="false"/>
          <w:sz w:val="20"/>
        </w:rPr>
        <w:t/>
      </w:r>
    </w:p>
    <w:p>
      <w:pPr>
        <w:pStyle w:val="ab"/>
      </w:pPr>
      <w:r>
        <w:t>七月份信用策略展望的主要内容是什么？</w:t>
      </w:r>
    </w:p>
    <w:p>
      <w:r>
        <w:rPr>
          <w:rFonts w:ascii="等线(中文正文)" w:hAnsi="等线(中文正文)" w:cs="等线(中文正文)" w:eastAsia="等线(中文正文)"/>
          <w:b w:val="false"/>
          <w:i w:val="false"/>
          <w:sz w:val="20"/>
        </w:rPr>
        <w:t>发言人1：七月份的信用策略展望中，信用债票息保护较薄，利差回调风险在积累。理财配置可利用这个时间窗口兑现前期资本利得，并适当切换投资品种，优选3年以内期限的产品。对于中长端尤其是二级资本债，建议在七月份抓住时机落袋为安；长久期信用债则等待赔率修复后再择机配置。</w:t>
      </w:r>
    </w:p>
    <w:p>
      <w:r>
        <w:rPr>
          <w:rFonts w:ascii="等线(中文正文)" w:hAnsi="等线(中文正文)" w:cs="等线(中文正文)" w:eastAsia="等线(中文正文)"/>
          <w:b w:val="false"/>
          <w:i w:val="false"/>
          <w:sz w:val="20"/>
        </w:rPr>
        <w:t/>
      </w:r>
    </w:p>
    <w:p>
      <w:pPr>
        <w:pStyle w:val="ab"/>
      </w:pPr>
      <w:r>
        <w:t>近期评级调整的情况如何？</w:t>
      </w:r>
    </w:p>
    <w:p>
      <w:r>
        <w:rPr>
          <w:rFonts w:ascii="等线(中文正文)" w:hAnsi="等线(中文正文)" w:cs="等线(中文正文)" w:eastAsia="等线(中文正文)"/>
          <w:b w:val="false"/>
          <w:i w:val="false"/>
          <w:sz w:val="20"/>
        </w:rPr>
        <w:t>发言人1：今年以来，主体评级调降事件共有13家发债主体发生，其中不乏3A稳定评级被下调的主体，对市场影响较大。此外，还有8家主体展望从稳定变为负面，以及4家列入观察名单的发展企业。同时，8家主体推迟跟踪评级，其中首开股份的跟踪评级报告将在7月23日前完成。值得注意的是，评级终止的情况明显增加，尤其上周评级终止案例显著放量，涉及主体52家，包括全部主体评级均终止的3A主体4家。对于这些评级终止且存续债券发债主体，可能会因机构被动出库而导致估值调整。</w:t>
      </w:r>
    </w:p>
    <w:p>
      <w:r>
        <w:rPr>
          <w:rFonts w:ascii="等线(中文正文)" w:hAnsi="等线(中文正文)" w:cs="等线(中文正文)" w:eastAsia="等线(中文正文)"/>
          <w:b w:val="false"/>
          <w:i w:val="false"/>
          <w:sz w:val="20"/>
        </w:rPr>
        <w:t/>
      </w:r>
    </w:p>
    <w:p>
      <w:pPr>
        <w:pStyle w:val="ab"/>
      </w:pPr>
      <w:r>
        <w:t>对于发行利差超过200BP的3A主体评级进展如何？</w:t>
      </w:r>
    </w:p>
    <w:p>
      <w:r>
        <w:rPr>
          <w:rFonts w:ascii="等线(中文正文)" w:hAnsi="等线(中文正文)" w:cs="等线(中文正文)" w:eastAsia="等线(中文正文)"/>
          <w:b w:val="false"/>
          <w:i w:val="false"/>
          <w:sz w:val="20"/>
        </w:rPr>
        <w:t>发言人1：截至当前，共有30家主体发行利差超过200BP，其中13家维持3A稳定评级，4家已终止评级，如西安文控、深圳卓越商业管理、天津金融投资服务集团和广州珠江实业等。还有部分主体跟踪评级结果暂时未披露，如上海豫园旅游商城被中诚信列入观察名单，首开股份的评级报告将延迟至7月23日公布。对于此类高利差主体评级的市场影响，将持续关注其评级变动和动态进展。</w:t>
      </w:r>
    </w:p>
    <w:p>
      <w:r>
        <w:rPr>
          <w:rFonts w:ascii="等线(中文正文)" w:hAnsi="等线(中文正文)" w:cs="等线(中文正文)" w:eastAsia="等线(中文正文)"/>
          <w:b w:val="false"/>
          <w:i w:val="false"/>
          <w:sz w:val="20"/>
        </w:rPr>
        <w:t/>
      </w:r>
    </w:p>
    <w:p>
      <w:pPr>
        <w:pStyle w:val="ab"/>
      </w:pPr>
      <w:r>
        <w:t>在评级关注主体中，近期有哪些二级成交情况受到评级调整影响较大的主体？</w:t>
      </w:r>
    </w:p>
    <w:p>
      <w:r>
        <w:rPr>
          <w:rFonts w:ascii="等线(中文正文)" w:hAnsi="等线(中文正文)" w:cs="等线(中文正文)" w:eastAsia="等线(中文正文)"/>
          <w:b w:val="false"/>
          <w:i w:val="false"/>
          <w:sz w:val="20"/>
        </w:rPr>
        <w:t>发言人1：近期，二级成交收益率相较于前一日中债估值偏离较大的主体主要分布在西井新区，如陕西建工、曲文控和山河控股等。此外，首开股份因上周评级延迟的新闻报道也受到了一定影响。而滨江房产集团、西安高新金控等主体，其主体成交受到评级调整的影响相对有限。</w:t>
      </w:r>
    </w:p>
    <w:p>
      <w:r>
        <w:rPr>
          <w:rFonts w:ascii="等线(中文正文)" w:hAnsi="等线(中文正文)" w:cs="等线(中文正文)" w:eastAsia="等线(中文正文)"/>
          <w:b w:val="false"/>
          <w:i w:val="false"/>
          <w:sz w:val="20"/>
        </w:rPr>
        <w:t/>
      </w:r>
    </w:p>
    <w:p>
      <w:pPr>
        <w:pStyle w:val="ab"/>
      </w:pPr>
      <w:r>
        <w:t>地产板块中，哪些3A高利差主体的估值表现值得关注？</w:t>
      </w:r>
    </w:p>
    <w:p>
      <w:r>
        <w:rPr>
          <w:rFonts w:ascii="等线(中文正文)" w:hAnsi="等线(中文正文)" w:cs="等线(中文正文)" w:eastAsia="等线(中文正文)"/>
          <w:b w:val="false"/>
          <w:i w:val="false"/>
          <w:sz w:val="20"/>
        </w:rPr>
        <w:t>发言人1：在3A高利差主体中，地产板块占比约为三分之一。从行业整体情况看，六月中旬至今，不同类型地产企业的行业利差普遍出现了3到12个BP的波动，其中中外合资企业和混合所有制企业的调整幅度较大。具体到主体层面，美的置业、中交房地产、滨江房产集团和珠海华发集团等高利差主体的估值有所上升，利差扩大了1到4个BP。</w:t>
      </w:r>
    </w:p>
    <w:p>
      <w:r>
        <w:rPr>
          <w:rFonts w:ascii="等线(中文正文)" w:hAnsi="等线(中文正文)" w:cs="等线(中文正文)" w:eastAsia="等线(中文正文)"/>
          <w:b w:val="false"/>
          <w:i w:val="false"/>
          <w:sz w:val="20"/>
        </w:rPr>
        <w:t/>
      </w:r>
    </w:p>
    <w:p>
      <w:pPr>
        <w:pStyle w:val="ab"/>
      </w:pPr>
      <w:r>
        <w:t>当前监管层面对3A主体评级调整的态度如何？</w:t>
      </w:r>
    </w:p>
    <w:p>
      <w:r>
        <w:rPr>
          <w:rFonts w:ascii="等线(中文正文)" w:hAnsi="等线(中文正文)" w:cs="等线(中文正文)" w:eastAsia="等线(中文正文)"/>
          <w:b w:val="false"/>
          <w:i w:val="false"/>
          <w:sz w:val="20"/>
        </w:rPr>
        <w:t>发言人1：尽管一直在强调评级虚高的问题，但近期的目标仍是压降3A主体数量占比。目前我国3A主体平均占比为28.52%，偏高。对于高利差超过200BP的主体，尽管市场存在一定的分歧，但监管层对于这类主体评级调整的态度相对强硬。对于今年已出跟评结果的利差在200BP以上的主体，需要进一步跟踪其短期评级是否会进一步调降。同时，非标逾期等舆情也是评级公司重点关注的因素之一。</w:t>
      </w:r>
    </w:p>
    <w:p>
      <w:r>
        <w:rPr>
          <w:rFonts w:ascii="等线(中文正文)" w:hAnsi="等线(中文正文)" w:cs="等线(中文正文)" w:eastAsia="等线(中文正文)"/>
          <w:b w:val="false"/>
          <w:i w:val="false"/>
          <w:sz w:val="20"/>
        </w:rPr>
        <w:t/>
      </w:r>
    </w:p>
    <w:p>
      <w:pPr>
        <w:pStyle w:val="ab"/>
      </w:pPr>
      <w:r>
        <w:t>对于投资机构而言，评级调降或终止意味着什么？</w:t>
      </w:r>
    </w:p>
    <w:p>
      <w:r>
        <w:rPr>
          <w:rFonts w:ascii="等线(中文正文)" w:hAnsi="等线(中文正文)" w:cs="等线(中文正文)" w:eastAsia="等线(中文正文)"/>
          <w:b w:val="false"/>
          <w:i w:val="false"/>
          <w:sz w:val="20"/>
        </w:rPr>
        <w:t>发言人1：评级调降或终止反映了主体资质可能存在瑕疵，并可能导致估值调整风险，投资机构应提前规避此类风险。但评级调整后也可能出现估值修复的机会，因此这类主体应成为重点关注的对象。</w:t>
      </w:r>
    </w:p>
    <w:p>
      <w:r>
        <w:rPr>
          <w:rFonts w:ascii="等线(中文正文)" w:hAnsi="等线(中文正文)" w:cs="等线(中文正文)" w:eastAsia="等线(中文正文)"/>
          <w:b w:val="false"/>
          <w:i w:val="false"/>
          <w:sz w:val="20"/>
        </w:rPr>
        <w:t/>
      </w:r>
    </w:p>
    <w:p>
      <w:pPr>
        <w:pStyle w:val="ab"/>
      </w:pPr>
      <w:r>
        <w:t>近期偏债型转债市场的表现及影响因素是什么？</w:t>
      </w:r>
    </w:p>
    <w:p>
      <w:r>
        <w:rPr>
          <w:rFonts w:ascii="等线(中文正文)" w:hAnsi="等线(中文正文)" w:cs="等线(中文正文)" w:eastAsia="等线(中文正文)"/>
          <w:b w:val="false"/>
          <w:i w:val="false"/>
          <w:sz w:val="20"/>
        </w:rPr>
        <w:t>发言人1：五月初至6月底，偏债型转债明显弱于中证转债指数，打破了传统认知。5月13日至15日期间，受金融数据偏弱、外围市场预期变化以及股市宽基指数出现M顶结构的影响，偏债型转债组合或产品承受了较大压力。此外，5月初之后，临期转债调整明显大于长久期转债，其中长久期转债表现更贴近权益市场，而短久期转债在权益回调时资金面出现净流出。</w:t>
      </w:r>
    </w:p>
    <w:p>
      <w:r>
        <w:rPr>
          <w:rFonts w:ascii="等线(中文正文)" w:hAnsi="等线(中文正文)" w:cs="等线(中文正文)" w:eastAsia="等线(中文正文)"/>
          <w:b w:val="false"/>
          <w:i w:val="false"/>
          <w:sz w:val="20"/>
        </w:rPr>
        <w:t/>
      </w:r>
    </w:p>
    <w:p>
      <w:pPr>
        <w:pStyle w:val="ab"/>
      </w:pPr>
      <w:r>
        <w:t>在当前市场环境下，短久期转债相较于长久期转债出现了明显的承压现象，这是为什么？</w:t>
      </w:r>
    </w:p>
    <w:p>
      <w:r>
        <w:rPr>
          <w:rFonts w:ascii="等线(中文正文)" w:hAnsi="等线(中文正文)" w:cs="等线(中文正文)" w:eastAsia="等线(中文正文)"/>
          <w:b w:val="false"/>
          <w:i w:val="false"/>
          <w:sz w:val="20"/>
        </w:rPr>
        <w:t>发言人1：这种承压现象主要是因为短久期转债期权价值遭受了较大损失，市场对其定价更多偏向于债性和交易属性。长久期转债仍受到较高的转股预期的影响，期权价值波动是其定价的主要因素。而短久期转债在资金面变化时，如资金净流出，会承受较强的压力。</w:t>
      </w:r>
    </w:p>
    <w:p>
      <w:r>
        <w:rPr>
          <w:rFonts w:ascii="等线(中文正文)" w:hAnsi="等线(中文正文)" w:cs="等线(中文正文)" w:eastAsia="等线(中文正文)"/>
          <w:b w:val="false"/>
          <w:i w:val="false"/>
          <w:sz w:val="20"/>
        </w:rPr>
        <w:t/>
      </w:r>
    </w:p>
    <w:p>
      <w:pPr>
        <w:pStyle w:val="ab"/>
      </w:pPr>
      <w:r>
        <w:t>五月下旬转债市场的分化情况如何？面对当前转债市场的调整，应该如何看待和把握投资机会？</w:t>
      </w:r>
    </w:p>
    <w:p>
      <w:r>
        <w:rPr>
          <w:rFonts w:ascii="等线(中文正文)" w:hAnsi="等线(中文正文)" w:cs="等线(中文正文)" w:eastAsia="等线(中文正文)"/>
          <w:b w:val="false"/>
          <w:i w:val="false"/>
          <w:sz w:val="20"/>
        </w:rPr>
        <w:t>发言人1：五月下旬，即使转债资金面不弱，部分偏债型转债却加速向下调整。这一变化可以分为两个部分：一是TMT行情集中爆发，低评级转债占比显著增加，所处行业以内需相关为主，科技含量较低，平价小于70的偏债型转债大量存在；二是6月底市场信用担忧升温，3A虚高评级转债出现清理，一些民营企业因经营恶化面临较大的下调评级压力，导致市场出现剧烈反应。我们认为这次调整其实是机会显现，尤其是对于久期偏长、转股价率不高的转债，在信用干扰下出现回调后，提供了较好的交易机会。例如光伏、养殖和软件等行业，可以在此轮调整后逐步配置性价比高的转债。对于没有信用担忧的传统短久期抵舱券，如银行和公共事业类转债，虽然调整幅度还未到位，但在YTM为负的情况下，配置价值还未充分显现，建议谨慎对待。而对于长久期纯债转债，其调整幅度相对有限，交易价值已有所企稳修复，短期可以关注，但不建议大仓位配置。</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2026-06-29T14:17:42Z</dcterms:created>
  <dc:creator>Apache POI</dc:creator>
</cp:coreProperties>
</file>