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招商证券 招商证券7月消费金股推荐 260628_导读</w:t>
      </w:r>
    </w:p>
    <w:p>
      <w:pPr>
        <w:pStyle w:val="a0"/>
        <w:jc w:val="center"/>
      </w:pPr>
      <w:r>
        <w:t>2026年06月29日 01:33</w:t>
      </w:r>
    </w:p>
    <w:p>
      <w:pPr>
        <w:pStyle w:val="a7"/>
      </w:pPr>
      <w:r>
        <w:t>关键词</w:t>
      </w:r>
    </w:p>
    <w:p>
      <w:r>
        <w:rPr>
          <w:rFonts w:ascii="等线(中文正文)" w:hAnsi="等线(中文正文)" w:cs="等线(中文正文)" w:eastAsia="等线(中文正文)"/>
          <w:b w:val="false"/>
          <w:i w:val="false"/>
          <w:sz w:val="20"/>
        </w:rPr>
        <w:t xml:space="preserve">周大福 金价 消费 同店增长 裕同科技 包装 3C 出口 百亚股份 口腔 电商 渠道 品牌升级 产品结构 全球化 收入增速 业绩前瞻 白电 空调 欧洲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招商证券多位分析师在电话会议中，深入分析了珠宝、3C包装、轻工业、家电、零售、社服、医药、农业等多个行业，强调会议内容仅面向专业投资机构客户，信息不构成投资建议，禁止录音或传播。分析覆盖金价波动对珠宝业影响、3C包装稳定增长、国内消费金股推荐、出口市场拓展、新能源车产业链机遇、医药行业底部布局及农业板块产能去化带来的投资机会。旨在为投资者提供全面的市场洞察和具体投资策略。</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招商证券七月推荐周大福：稳健增长与品牌升级</w:t>
      </w:r>
    </w:p>
    <w:p>
      <w:r>
        <w:rPr>
          <w:rFonts w:ascii="等线(中文正文)" w:hAnsi="等线(中文正文)" w:cs="等线(中文正文)" w:eastAsia="等线(中文正文)"/>
          <w:b w:val="false"/>
          <w:i w:val="false"/>
          <w:sz w:val="20"/>
        </w:rPr>
        <w:t>招商证券七月推荐周大福，强调其在金价震荡背景下通过全品类布局、产品推新和品牌升级实现稳健增长。公司二季度同店表现持续改善，远超行业，新品如万象系列贡献显著。预计年内金价震荡，克重黄金销售平稳，黄金镶嵌品类持续创新。渠道调整成效明显，高端品牌建设坚定，二期财年估值11倍，股息率6%，值得配置。</w:t>
      </w:r>
    </w:p>
    <w:p>
      <w:r>
        <w:rPr>
          <w:rFonts w:ascii="等线(中文正文)" w:hAnsi="等线(中文正文)" w:cs="等线(中文正文)" w:eastAsia="等线(中文正文)"/>
          <w:b w:val="false"/>
          <w:i w:val="false"/>
          <w:sz w:val="20"/>
        </w:rPr>
        <w:t/>
      </w:r>
    </w:p>
    <w:p>
      <w:pPr>
        <w:pStyle w:val="ab"/>
        <w:numPr>
          <w:numId w:val="2"/>
        </w:numPr>
      </w:pPr>
      <w:r>
        <w:t>03:45 投资策略汇报：聚焦结构成长与出口阿尔法标的</w:t>
      </w:r>
    </w:p>
    <w:p>
      <w:r>
        <w:rPr>
          <w:rFonts w:ascii="等线(中文正文)" w:hAnsi="等线(中文正文)" w:cs="等线(中文正文)" w:eastAsia="等线(中文正文)"/>
          <w:b w:val="false"/>
          <w:i w:val="false"/>
          <w:sz w:val="20"/>
        </w:rPr>
        <w:t>汇报重点讨论了裕同科技、南方口腔和百亚股份的投资价值。裕同科技作为3C包装龙头，主业稳健增长，现金流良好，分红比例高，且在科技转型方面有显著进展，包括精密部件和新材料业务。南方口腔和百亚股份则分别在口腔护理和女性卫生用品领域展现出强劲的市场表现和经营韧性，同时具备股权激励预期，建议关注其结构成长和外围市场拓展潜力。</w:t>
      </w:r>
    </w:p>
    <w:p>
      <w:r>
        <w:rPr>
          <w:rFonts w:ascii="等线(中文正文)" w:hAnsi="等线(中文正文)" w:cs="等线(中文正文)" w:eastAsia="等线(中文正文)"/>
          <w:b w:val="false"/>
          <w:i w:val="false"/>
          <w:sz w:val="20"/>
        </w:rPr>
        <w:t/>
      </w:r>
    </w:p>
    <w:p>
      <w:pPr>
        <w:pStyle w:val="ab"/>
        <w:numPr>
          <w:numId w:val="3"/>
        </w:numPr>
      </w:pPr>
      <w:r>
        <w:t>06:37 出海龙头与白电行业业绩前瞻</w:t>
      </w:r>
    </w:p>
    <w:p>
      <w:r>
        <w:rPr>
          <w:rFonts w:ascii="等线(中文正文)" w:hAnsi="等线(中文正文)" w:cs="等线(中文正文)" w:eastAsia="等线(中文正文)"/>
          <w:b w:val="false"/>
          <w:i w:val="false"/>
          <w:sz w:val="20"/>
        </w:rPr>
        <w:t>对话讨论了关注出海龙头在非洲和拉美市场的增长潜力，以及白电行业在欧洲需求激增背景下的业绩表现，特别是美的等全球化程度高的公司在海外市场的拉动作用。</w:t>
      </w:r>
    </w:p>
    <w:p>
      <w:r>
        <w:rPr>
          <w:rFonts w:ascii="等线(中文正文)" w:hAnsi="等线(中文正文)" w:cs="等线(中文正文)" w:eastAsia="等线(中文正文)"/>
          <w:b w:val="false"/>
          <w:i w:val="false"/>
          <w:sz w:val="20"/>
        </w:rPr>
        <w:t/>
      </w:r>
    </w:p>
    <w:p>
      <w:pPr>
        <w:pStyle w:val="ab"/>
        <w:numPr>
          <w:numId w:val="4"/>
        </w:numPr>
      </w:pPr>
      <w:r>
        <w:t>08:34 二季度业绩前瞻与零售板块推荐</w:t>
      </w:r>
    </w:p>
    <w:p>
      <w:r>
        <w:rPr>
          <w:rFonts w:ascii="等线(中文正文)" w:hAnsi="等线(中文正文)" w:cs="等线(中文正文)" w:eastAsia="等线(中文正文)"/>
          <w:b w:val="false"/>
          <w:i w:val="false"/>
          <w:sz w:val="20"/>
        </w:rPr>
        <w:t>对话围绕二季度业绩前瞻展开，重点分析了两轮车、工具储能、影音娱乐三大板块的表现，指出滔滔车业、春风动力、九号公司等企业收入增速亮眼，估值偏低。同时，零售板块中的量贩零食获得强烈推荐。整体展望乐观，多家公司回购及高管增持显示信心。</w:t>
      </w:r>
    </w:p>
    <w:p>
      <w:r>
        <w:rPr>
          <w:rFonts w:ascii="等线(中文正文)" w:hAnsi="等线(中文正文)" w:cs="等线(中文正文)" w:eastAsia="等线(中文正文)"/>
          <w:b w:val="false"/>
          <w:i w:val="false"/>
          <w:sz w:val="20"/>
        </w:rPr>
        <w:t/>
      </w:r>
    </w:p>
    <w:p>
      <w:pPr>
        <w:pStyle w:val="ab"/>
        <w:numPr>
          <w:numId w:val="5"/>
        </w:numPr>
      </w:pPr>
      <w:r>
        <w:t>11:58 零食板块投资分析：开店加速与估值优势</w:t>
      </w:r>
    </w:p>
    <w:p>
      <w:r>
        <w:rPr>
          <w:rFonts w:ascii="等线(中文正文)" w:hAnsi="等线(中文正文)" w:cs="等线(中文正文)" w:eastAsia="等线(中文正文)"/>
          <w:b w:val="false"/>
          <w:i w:val="false"/>
          <w:sz w:val="20"/>
        </w:rPr>
        <w:t>对话讨论了零食板块的资本估值和开店加速情况，指出今年1至5月开店数量已接近去年全年，头部企业开店速度明显加快，且净利率有提升空间。估值方面，头部企业估值处于13至15倍区间，性价比高。尽管近期股价回调，但行业开店空间仍充裕，头部企业市占率提升逻辑存在，核心市场开店密度仍有加密空间，因此认为市场竞争可控，推荐继续关注该板块。</w:t>
      </w:r>
    </w:p>
    <w:p>
      <w:r>
        <w:rPr>
          <w:rFonts w:ascii="等线(中文正文)" w:hAnsi="等线(中文正文)" w:cs="等线(中文正文)" w:eastAsia="等线(中文正文)"/>
          <w:b w:val="false"/>
          <w:i w:val="false"/>
          <w:sz w:val="20"/>
        </w:rPr>
        <w:t/>
      </w:r>
    </w:p>
    <w:p>
      <w:pPr>
        <w:pStyle w:val="ab"/>
        <w:numPr>
          <w:numId w:val="6"/>
        </w:numPr>
      </w:pPr>
      <w:r>
        <w:t>14:39 社服板块分析：携程财报与市场预期</w:t>
      </w:r>
    </w:p>
    <w:p>
      <w:r>
        <w:rPr>
          <w:rFonts w:ascii="等线(中文正文)" w:hAnsi="等线(中文正文)" w:cs="等线(中文正文)" w:eastAsia="等线(中文正文)"/>
          <w:b w:val="false"/>
          <w:i w:val="false"/>
          <w:sz w:val="20"/>
        </w:rPr>
        <w:t>对话讨论了携程二季度财报及市场预期，指出燃油成本上涨导致出行需求下降，影响国内旅游人次和酒店业，但海外市场表现良好。预计2026年携程业绩可达185亿至190亿，当前估值较低，建议关注底部布局机会，等待反垄断政策落地后的估值修复时机。</w:t>
      </w:r>
    </w:p>
    <w:p>
      <w:r>
        <w:rPr>
          <w:rFonts w:ascii="等线(中文正文)" w:hAnsi="等线(中文正文)" w:cs="等线(中文正文)" w:eastAsia="等线(中文正文)"/>
          <w:b w:val="false"/>
          <w:i w:val="false"/>
          <w:sz w:val="20"/>
        </w:rPr>
        <w:t/>
      </w:r>
    </w:p>
    <w:p>
      <w:pPr>
        <w:pStyle w:val="ab"/>
        <w:numPr>
          <w:numId w:val="7"/>
        </w:numPr>
      </w:pPr>
      <w:r>
        <w:t>17:54 出行链与医药行业市场分析及投资建议</w:t>
      </w:r>
    </w:p>
    <w:p>
      <w:r>
        <w:rPr>
          <w:rFonts w:ascii="等线(中文正文)" w:hAnsi="等线(中文正文)" w:cs="等线(中文正文)" w:eastAsia="等线(中文正文)"/>
          <w:b w:val="false"/>
          <w:i w:val="false"/>
          <w:sz w:val="20"/>
        </w:rPr>
        <w:t>对话讨论了端午后国内出行市场的暑期旺季预期，指出油价微降但需求增长有限，推荐关注OTA和酒店板块，尤其是华住与亚索蓝胶。同时，医药行业处于底部，资金面宽松，头部公司回购与增持频现，美股医药回暖，建议布局医药板块。</w:t>
      </w:r>
    </w:p>
    <w:p>
      <w:r>
        <w:rPr>
          <w:rFonts w:ascii="等线(中文正文)" w:hAnsi="等线(中文正文)" w:cs="等线(中文正文)" w:eastAsia="等线(中文正文)"/>
          <w:b w:val="false"/>
          <w:i w:val="false"/>
          <w:sz w:val="20"/>
        </w:rPr>
        <w:t/>
      </w:r>
    </w:p>
    <w:p>
      <w:pPr>
        <w:pStyle w:val="ab"/>
        <w:numPr>
          <w:numId w:val="8"/>
        </w:numPr>
      </w:pPr>
      <w:r>
        <w:t>19:40 医药板块景气度提升，创新药产业链与生命科学上游获推荐</w:t>
      </w:r>
    </w:p>
    <w:p>
      <w:r>
        <w:rPr>
          <w:rFonts w:ascii="等线(中文正文)" w:hAnsi="等线(中文正文)" w:cs="等线(中文正文)" w:eastAsia="等线(中文正文)"/>
          <w:b w:val="false"/>
          <w:i w:val="false"/>
          <w:sz w:val="20"/>
        </w:rPr>
        <w:t>对话聚焦于医药板块的景气周期，特别强调创新药产业链及生命科学上游的强劲需求与业绩确定性。CRO和CDMO板块订单与业绩显著恢复，资金流入明显，建议关注国内研发需求驱动的CRO及全球订单承接的CDMO企业。生命科学上游受益于创新药研发景气度提升，高端耗材试剂需求增加，推荐关注奥曼达等企业。此外，中国创新药出海空间广阔，建议关注低估的创新药企。</w:t>
      </w:r>
    </w:p>
    <w:p>
      <w:r>
        <w:rPr>
          <w:rFonts w:ascii="等线(中文正文)" w:hAnsi="等线(中文正文)" w:cs="等线(中文正文)" w:eastAsia="等线(中文正文)"/>
          <w:b w:val="false"/>
          <w:i w:val="false"/>
          <w:sz w:val="20"/>
        </w:rPr>
        <w:t/>
      </w:r>
    </w:p>
    <w:p>
      <w:pPr>
        <w:pStyle w:val="ab"/>
        <w:numPr>
          <w:numId w:val="9"/>
        </w:numPr>
      </w:pPr>
      <w:r>
        <w:t>23:53 农业板块布局与重点推荐标的分析</w:t>
      </w:r>
    </w:p>
    <w:p>
      <w:r>
        <w:rPr>
          <w:rFonts w:ascii="等线(中文正文)" w:hAnsi="等线(中文正文)" w:cs="等线(中文正文)" w:eastAsia="等线(中文正文)"/>
          <w:b w:val="false"/>
          <w:i w:val="false"/>
          <w:sz w:val="20"/>
        </w:rPr>
        <w:t>近期农业板块估值回落至历史低位，建议布局深度趋势。生猪养殖方面，看好产能去化逻辑，预计猪价回暖但幅度有限，推荐低成本优势企业。琴板块中，重点推荐寰宇基等优质标的。</w:t>
      </w:r>
    </w:p>
    <w:p>
      <w:r>
        <w:rPr>
          <w:rFonts w:ascii="等线(中文正文)" w:hAnsi="等线(中文正文)" w:cs="等线(中文正文)" w:eastAsia="等线(中文正文)"/>
          <w:b w:val="false"/>
          <w:i w:val="false"/>
          <w:sz w:val="20"/>
        </w:rPr>
        <w:t/>
      </w:r>
    </w:p>
    <w:p>
      <w:pPr>
        <w:pStyle w:val="ab"/>
        <w:numPr>
          <w:numId w:val="10"/>
        </w:numPr>
      </w:pPr>
      <w:r>
        <w:t>25:57 农业行业景气度提升与投资机会分析</w:t>
      </w:r>
    </w:p>
    <w:p>
      <w:r>
        <w:rPr>
          <w:rFonts w:ascii="等线(中文正文)" w:hAnsi="等线(中文正文)" w:cs="等线(中文正文)" w:eastAsia="等线(中文正文)"/>
          <w:b w:val="false"/>
          <w:i w:val="false"/>
          <w:sz w:val="20"/>
        </w:rPr>
        <w:t>对话讨论了农业行业，特别是黄羽鸡养殖和玉米种植领域，在过去两年间经历了产能下降和行业亏损后的显著改善。当前，黄羽鸡价格因家庭消费增加而上涨，饲料成本回落，预示三季度企业盈利机会良好。同时，全球粮食供应偏紧，预计2027年粮食需求缺口大，农户种植成本创新高，支持粮价中枢抬升。国内玉米种业供需改善，转基玉米大豆进入常规化种植阶段，看好优质抗逆性品种市占率提升。推荐德康农牧、利华股份、农村高科等企业作为投资标的。</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在招商证券的七月消费金股推荐会议中，首先强调了会议的专业性，并提醒与会者不得违规传播会议内容。他重点推荐了周大福，认为其在金价波动背景下，通过全品类布局、产品推新和品牌升级有望实现稳健增长，建议在二期财年进行配置。此外，还提及了裕同科技、南方口腔、百亚股份等标的，基于其稳健的主业、良好的现金流和高分红比例，认为这些公司具有投资潜力。他深入分析了零售、社服、医药、农业等多个板块的市场状况与投资机会，强调了市场底部布局的重要性，并推荐了具体公司作为投资标的。整个发言内容展示了他对市场趋势的深入理解和对未来投资机会的敏锐洞察。</w:t>
      </w:r>
    </w:p>
    <w:p>
      <w:r>
        <w:rPr>
          <w:rFonts w:ascii="等线(中文正文)" w:hAnsi="等线(中文正文)" w:cs="等线(中文正文)" w:eastAsia="等线(中文正文)"/>
          <w:b w:val="false"/>
          <w:i w:val="false"/>
          <w:sz w:val="20"/>
        </w:rPr>
        <w:t/>
      </w:r>
    </w:p>
    <w:p>
      <w:pPr>
        <w:pStyle w:val="a7"/>
      </w:pPr>
      <w:r>
        <w:t>要点回顾</w:t>
      </w:r>
    </w:p>
    <w:p>
      <w:pPr>
        <w:pStyle w:val="ab"/>
      </w:pPr>
      <w:r>
        <w:t>招商证券七月消费金股推荐中，为何重点推荐周大福？</w:t>
      </w:r>
    </w:p>
    <w:p>
      <w:r>
        <w:rPr>
          <w:rFonts w:ascii="等线(中文正文)" w:hAnsi="等线(中文正文)" w:cs="等线(中文正文)" w:eastAsia="等线(中文正文)"/>
          <w:b w:val="false"/>
          <w:i w:val="false"/>
          <w:sz w:val="20"/>
        </w:rPr>
        <w:t>发言人1：我们重点推荐周大福的原因在于，受金价影响，其股价已基本回复至之前财报后的大涨水平，且二期财年估值回到11倍左右，处于较具吸引力的位置。核心逻辑在于今年金价震荡背景下，周大福通过全品类布局、持续产品推新和品牌升级实现稳健增长，并有望穿越周期。</w:t>
      </w:r>
    </w:p>
    <w:p>
      <w:r>
        <w:rPr>
          <w:rFonts w:ascii="等线(中文正文)" w:hAnsi="等线(中文正文)" w:cs="等线(中文正文)" w:eastAsia="等线(中文正文)"/>
          <w:b w:val="false"/>
          <w:i w:val="false"/>
          <w:sz w:val="20"/>
        </w:rPr>
        <w:t/>
      </w:r>
    </w:p>
    <w:p>
      <w:pPr>
        <w:pStyle w:val="ab"/>
      </w:pPr>
      <w:r>
        <w:t>周大福最新的终端销售情况如何？</w:t>
      </w:r>
    </w:p>
    <w:p>
      <w:r>
        <w:rPr>
          <w:rFonts w:ascii="等线(中文正文)" w:hAnsi="等线(中文正文)" w:cs="等线(中文正文)" w:eastAsia="等线(中文正文)"/>
          <w:b w:val="false"/>
          <w:i w:val="false"/>
          <w:sz w:val="20"/>
        </w:rPr>
        <w:t>发言人1：根据渠道跟踪数据显示，六月份中上旬，周大福内地同店增长维持在20%以上，其中克重黄金销售环比5月份继续提速，消费量恢复增长；黄金镶嵌品类销售额翻倍，新产品如万象系列表现强劲，一口价黄金同店降幅收窄。</w:t>
      </w:r>
    </w:p>
    <w:p>
      <w:r>
        <w:rPr>
          <w:rFonts w:ascii="等线(中文正文)" w:hAnsi="等线(中文正文)" w:cs="等线(中文正文)" w:eastAsia="等线(中文正文)"/>
          <w:b w:val="false"/>
          <w:i w:val="false"/>
          <w:sz w:val="20"/>
        </w:rPr>
        <w:t/>
      </w:r>
    </w:p>
    <w:p>
      <w:pPr>
        <w:pStyle w:val="ab"/>
      </w:pPr>
      <w:r>
        <w:t>周大福二季度同店表现优于行业的原因是什么？</w:t>
      </w:r>
    </w:p>
    <w:p>
      <w:r>
        <w:rPr>
          <w:rFonts w:ascii="等线(中文正文)" w:hAnsi="等线(中文正文)" w:cs="等线(中文正文)" w:eastAsia="等线(中文正文)"/>
          <w:b w:val="false"/>
          <w:i w:val="false"/>
          <w:sz w:val="20"/>
        </w:rPr>
        <w:t>发言人1：周大福二季度同店表现持续改善且远好于行业的主要原因是其完善的产品结构以及新品受到市场认可。在金价回调或震荡期间，周大福依靠克重黄金的大盘稳住整体销售，同时黄金镶嵌品类的新品设计不断创新，为公司收入和利润带来增量贡献。</w:t>
      </w:r>
    </w:p>
    <w:p>
      <w:r>
        <w:rPr>
          <w:rFonts w:ascii="等线(中文正文)" w:hAnsi="等线(中文正文)" w:cs="等线(中文正文)" w:eastAsia="等线(中文正文)"/>
          <w:b w:val="false"/>
          <w:i w:val="false"/>
          <w:sz w:val="20"/>
        </w:rPr>
        <w:t/>
      </w:r>
    </w:p>
    <w:p>
      <w:pPr>
        <w:pStyle w:val="ab"/>
      </w:pPr>
      <w:r>
        <w:t>对于后续金价走势及周大福销售表现有何预测？</w:t>
      </w:r>
    </w:p>
    <w:p>
      <w:r>
        <w:rPr>
          <w:rFonts w:ascii="等线(中文正文)" w:hAnsi="等线(中文正文)" w:cs="等线(中文正文)" w:eastAsia="等线(中文正文)"/>
          <w:b w:val="false"/>
          <w:i w:val="false"/>
          <w:sz w:val="20"/>
        </w:rPr>
        <w:t>发言人1：我们认为年内金价将以震荡为主，克重黄金销售可保持平稳表现，而黄金镶嵌品类将持续受益于公司推新能力和设计创新。此外，周大福渠道调整取得成效，尾部低销门店持续关闭，品牌升级也在进行中，因此预计周大福在二期财年有望取得稳健增长，且由于产品和渠道结构变化，公司整体利润率长期将会上升。</w:t>
      </w:r>
    </w:p>
    <w:p>
      <w:r>
        <w:rPr>
          <w:rFonts w:ascii="等线(中文正文)" w:hAnsi="等线(中文正文)" w:cs="等线(中文正文)" w:eastAsia="等线(中文正文)"/>
          <w:b w:val="false"/>
          <w:i w:val="false"/>
          <w:sz w:val="20"/>
        </w:rPr>
        <w:t/>
      </w:r>
    </w:p>
    <w:p>
      <w:pPr>
        <w:pStyle w:val="ab"/>
      </w:pPr>
      <w:r>
        <w:t>是否还有其他值得关注的投资标的？</w:t>
      </w:r>
    </w:p>
    <w:p>
      <w:r>
        <w:rPr>
          <w:rFonts w:ascii="等线(中文正文)" w:hAnsi="等线(中文正文)" w:cs="等线(中文正文)" w:eastAsia="等线(中文正文)"/>
          <w:b w:val="false"/>
          <w:i w:val="false"/>
          <w:sz w:val="20"/>
        </w:rPr>
        <w:t>发言人1：除了周大福外，我们还建议关注具有结构成长和出口阿尔法的裕同科技。该公司的主业稳健，过去几年稳定增长并具备现金流优势，现金分红比例高，同时还有回购方案彰显发展信心。此外，裕同科技还拥有科技基础，正通过新业务布局精密基础件、AI液冷业务等，展现出更多的看点。</w:t>
      </w:r>
    </w:p>
    <w:p>
      <w:r>
        <w:rPr>
          <w:rFonts w:ascii="等线(中文正文)" w:hAnsi="等线(中文正文)" w:cs="等线(中文正文)" w:eastAsia="等线(中文正文)"/>
          <w:b w:val="false"/>
          <w:i w:val="false"/>
          <w:sz w:val="20"/>
        </w:rPr>
        <w:t/>
      </w:r>
    </w:p>
    <w:p>
      <w:pPr>
        <w:pStyle w:val="ab"/>
      </w:pPr>
      <w:r>
        <w:t>在当前市场环境下，有哪些国货龙头品牌在产品升级和电商控费等方面表现出较强的经营韧性，并且具备结构成长和外围市场拓展潜力？</w:t>
      </w:r>
    </w:p>
    <w:p>
      <w:r>
        <w:rPr>
          <w:rFonts w:ascii="等线(中文正文)" w:hAnsi="等线(中文正文)" w:cs="等线(中文正文)" w:eastAsia="等线(中文正文)"/>
          <w:b w:val="false"/>
          <w:i w:val="false"/>
          <w:sz w:val="20"/>
        </w:rPr>
        <w:t>发言人1：我们建议关注东方口腔，它在2023年一季度即使面临高基数挑战，仍实现了双位数利润增长。此外，对于具备股权激励预期的百亚股份，也是值得关注的标的。</w:t>
      </w:r>
    </w:p>
    <w:p>
      <w:r>
        <w:rPr>
          <w:rFonts w:ascii="等线(中文正文)" w:hAnsi="等线(中文正文)" w:cs="等线(中文正文)" w:eastAsia="等线(中文正文)"/>
          <w:b w:val="false"/>
          <w:i w:val="false"/>
          <w:sz w:val="20"/>
        </w:rPr>
        <w:t/>
      </w:r>
    </w:p>
    <w:p>
      <w:pPr>
        <w:pStyle w:val="ab"/>
      </w:pPr>
      <w:r>
        <w:t>在出口制造方面，有哪些公司通过客户出海策略实现了收入增长动力和费用控制？</w:t>
      </w:r>
    </w:p>
    <w:p>
      <w:r>
        <w:rPr>
          <w:rFonts w:ascii="等线(中文正文)" w:hAnsi="等线(中文正文)" w:cs="等线(中文正文)" w:eastAsia="等线(中文正文)"/>
          <w:b w:val="false"/>
          <w:i w:val="false"/>
          <w:sz w:val="20"/>
        </w:rPr>
        <w:t>发言人1：建议关注舒适公司的出海龙头趋势。该公司在非洲和拉丁美洲等蓝海市场卫生巾和婴儿纸尿裤渗透率提升中受益，同时通过全球建厂规避了制造效率风险和关税风险，以及与母公司正大集团达成海运费协定，降低了原材料采购成本波动的影响。</w:t>
      </w:r>
    </w:p>
    <w:p>
      <w:r>
        <w:rPr>
          <w:rFonts w:ascii="等线(中文正文)" w:hAnsi="等线(中文正文)" w:cs="等线(中文正文)" w:eastAsia="等线(中文正文)"/>
          <w:b w:val="false"/>
          <w:i w:val="false"/>
          <w:sz w:val="20"/>
        </w:rPr>
        <w:t/>
      </w:r>
    </w:p>
    <w:p>
      <w:pPr>
        <w:pStyle w:val="ab"/>
      </w:pPr>
      <w:r>
        <w:t>对于家电板块，二季度有哪些主要表现和业绩前瞻？</w:t>
      </w:r>
    </w:p>
    <w:p>
      <w:r>
        <w:rPr>
          <w:rFonts w:ascii="等线(中文正文)" w:hAnsi="等线(中文正文)" w:cs="等线(中文正文)" w:eastAsia="等线(中文正文)"/>
          <w:b w:val="false"/>
          <w:i w:val="false"/>
          <w:sz w:val="20"/>
        </w:rPr>
        <w:t>发言人1：二季度白电板块中，欧洲厄尔尼诺气候导致空调需求激增，尤其利好美的等全球化程度高、海外业务收入占比大的公司。其中，美的Q2业绩预期维持小个位数正增长，而二线品牌则面临个位数下滑压力。预计下半年各公司将呈现环比改善趋势。</w:t>
      </w:r>
    </w:p>
    <w:p>
      <w:r>
        <w:rPr>
          <w:rFonts w:ascii="等线(中文正文)" w:hAnsi="等线(中文正文)" w:cs="等线(中文正文)" w:eastAsia="等线(中文正文)"/>
          <w:b w:val="false"/>
          <w:i w:val="false"/>
          <w:sz w:val="20"/>
        </w:rPr>
        <w:t/>
      </w:r>
    </w:p>
    <w:p>
      <w:pPr>
        <w:pStyle w:val="ab"/>
      </w:pPr>
      <w:r>
        <w:t>在两轮车领域，哪些公司的收入和业绩表现突出？</w:t>
      </w:r>
    </w:p>
    <w:p>
      <w:r>
        <w:rPr>
          <w:rFonts w:ascii="等线(中文正文)" w:hAnsi="等线(中文正文)" w:cs="等线(中文正文)" w:eastAsia="等线(中文正文)"/>
          <w:b w:val="false"/>
          <w:i w:val="false"/>
          <w:sz w:val="20"/>
        </w:rPr>
        <w:t>发言人1：Q2涛涛车业和春风收入增速较高，分别预期达到50%左右和30%以上，九号公司收入增速预计也会达到20%。出口占比高的滔滔和春风在业绩增幅上表现强劲，预计分别为30到50倍和10到20倍。</w:t>
      </w:r>
    </w:p>
    <w:p>
      <w:r>
        <w:rPr>
          <w:rFonts w:ascii="等线(中文正文)" w:hAnsi="等线(中文正文)" w:cs="等线(中文正文)" w:eastAsia="等线(中文正文)"/>
          <w:b w:val="false"/>
          <w:i w:val="false"/>
          <w:sz w:val="20"/>
        </w:rPr>
        <w:t/>
      </w:r>
    </w:p>
    <w:p>
      <w:pPr>
        <w:pStyle w:val="ab"/>
      </w:pPr>
      <w:r>
        <w:t>工具和储能板块在Q2有哪些业绩亮点？</w:t>
      </w:r>
    </w:p>
    <w:p>
      <w:r>
        <w:rPr>
          <w:rFonts w:ascii="等线(中文正文)" w:hAnsi="等线(中文正文)" w:cs="等线(中文正文)" w:eastAsia="等线(中文正文)"/>
          <w:b w:val="false"/>
          <w:i w:val="false"/>
          <w:sz w:val="20"/>
        </w:rPr>
        <w:t>发言人1：Q2由于退税政策带来业绩增厚，美元升值减轻了汇兑压力，叠加美国地产刺激法案和欧洲阳台储能需求爆发，安科创新、华宝新能等公司收入增速超过30%。工具类公司如巨星和全峰在持续涨价下，业绩环比改善明显，且估值偏低，展现出较强信心。</w:t>
      </w:r>
    </w:p>
    <w:p>
      <w:r>
        <w:rPr>
          <w:rFonts w:ascii="等线(中文正文)" w:hAnsi="等线(中文正文)" w:cs="等线(中文正文)" w:eastAsia="等线(中文正文)"/>
          <w:b w:val="false"/>
          <w:i w:val="false"/>
          <w:sz w:val="20"/>
        </w:rPr>
        <w:t/>
      </w:r>
    </w:p>
    <w:p>
      <w:pPr>
        <w:pStyle w:val="ab"/>
      </w:pPr>
      <w:r>
        <w:t>影音和娱乐板块中有哪些推荐公司及理由？</w:t>
      </w:r>
    </w:p>
    <w:p>
      <w:r>
        <w:rPr>
          <w:rFonts w:ascii="等线(中文正文)" w:hAnsi="等线(中文正文)" w:cs="等线(中文正文)" w:eastAsia="等线(中文正文)"/>
          <w:b w:val="false"/>
          <w:i w:val="false"/>
          <w:sz w:val="20"/>
        </w:rPr>
        <w:t>发言人1：推荐提效电子、提效科技和创想三维，汽车电子、电视终端在世界杯体育电视营销拉动下收入业绩超预期；TLG在玻璃机白板技术和半导体硅片涨价影响下，新业务爆发推动估值体系重塑；创想三维在618和prime大促中表现突出，国家层面得到明确支持。这些公司的估值水平相对偏低，具备进一步向上空间。</w:t>
      </w:r>
    </w:p>
    <w:p>
      <w:r>
        <w:rPr>
          <w:rFonts w:ascii="等线(中文正文)" w:hAnsi="等线(中文正文)" w:cs="等线(中文正文)" w:eastAsia="等线(中文正文)"/>
          <w:b w:val="false"/>
          <w:i w:val="false"/>
          <w:sz w:val="20"/>
        </w:rPr>
        <w:t/>
      </w:r>
    </w:p>
    <w:p>
      <w:pPr>
        <w:pStyle w:val="ab"/>
      </w:pPr>
      <w:r>
        <w:t>这个行业从资本和估值角度看是否处于合适位置？</w:t>
      </w:r>
    </w:p>
    <w:p>
      <w:r>
        <w:rPr>
          <w:rFonts w:ascii="等线(中文正文)" w:hAnsi="等线(中文正文)" w:cs="等线(中文正文)" w:eastAsia="等线(中文正文)"/>
          <w:b w:val="false"/>
          <w:i w:val="false"/>
          <w:sz w:val="20"/>
        </w:rPr>
        <w:t>发言人1：是的，从资本和估值角度来看，该行业当前处于非常合适的阶段。从基本面分析，今年前五个月的开店速度显著加快，头部两家公司的开店数量已经接近去年全年的水平。此外，公司对铜店运营的改善以及去年的低基数效应，使得今年上半年两大头部公司的业绩基本为正，并且净利率还有持续提升空间。</w:t>
      </w:r>
    </w:p>
    <w:p>
      <w:r>
        <w:rPr>
          <w:rFonts w:ascii="等线(中文正文)" w:hAnsi="等线(中文正文)" w:cs="等线(中文正文)" w:eastAsia="等线(中文正文)"/>
          <w:b w:val="false"/>
          <w:i w:val="false"/>
          <w:sz w:val="20"/>
        </w:rPr>
        <w:t/>
      </w:r>
    </w:p>
    <w:p>
      <w:pPr>
        <w:pStyle w:val="ab"/>
      </w:pPr>
      <w:r>
        <w:t>估值方面的情况如何？</w:t>
      </w:r>
    </w:p>
    <w:p>
      <w:r>
        <w:rPr>
          <w:rFonts w:ascii="等线(中文正文)" w:hAnsi="等线(中文正文)" w:cs="等线(中文正文)" w:eastAsia="等线(中文正文)"/>
          <w:b w:val="false"/>
          <w:i w:val="false"/>
          <w:sz w:val="20"/>
        </w:rPr>
        <w:t>发言人1：估值方面，目前两家头部公司的市盈率大致在13到15倍之间，净利率提升的空间仍然明显。考虑到当前估值与外省市相当，且具有性价比，尽管近期股价出现回调，部分原因包括消费板块整体走弱和市场竞争事件的影响，但实际分析后发现，开店空间依然充裕，整个行业的开店潜力仍可望达到10万家以上。</w:t>
      </w:r>
    </w:p>
    <w:p>
      <w:r>
        <w:rPr>
          <w:rFonts w:ascii="等线(中文正文)" w:hAnsi="等线(中文正文)" w:cs="等线(中文正文)" w:eastAsia="等线(中文正文)"/>
          <w:b w:val="false"/>
          <w:i w:val="false"/>
          <w:sz w:val="20"/>
        </w:rPr>
        <w:t/>
      </w:r>
    </w:p>
    <w:p>
      <w:pPr>
        <w:pStyle w:val="ab"/>
      </w:pPr>
      <w:r>
        <w:t>对于头部品牌而言，它们未来的开店空间有多大？</w:t>
      </w:r>
    </w:p>
    <w:p>
      <w:r>
        <w:rPr>
          <w:rFonts w:ascii="等线(中文正文)" w:hAnsi="等线(中文正文)" w:cs="等线(中文正文)" w:eastAsia="等线(中文正文)"/>
          <w:b w:val="false"/>
          <w:i w:val="false"/>
          <w:sz w:val="20"/>
        </w:rPr>
        <w:t>发言人1：头部品牌除了可以抢占剩下的行业开店空间外，还有市占率提升的逻辑。目前尾部玩家的开店速度放缓甚至出现闭店现象，这将进一步提升头部品牌的市场份额。对于头部的两家公司，单个品牌的开店空间保守估计也有1万到1.5万家，核心市场的加密空间也很充裕，因此，即使在当前情况下，开店顶峰问题暂时不用担心，竞争状态仍在可控范围内。</w:t>
      </w:r>
    </w:p>
    <w:p>
      <w:r>
        <w:rPr>
          <w:rFonts w:ascii="等线(中文正文)" w:hAnsi="等线(中文正文)" w:cs="等线(中文正文)" w:eastAsia="等线(中文正文)"/>
          <w:b w:val="false"/>
          <w:i w:val="false"/>
          <w:sz w:val="20"/>
        </w:rPr>
        <w:t/>
      </w:r>
    </w:p>
    <w:p>
      <w:pPr>
        <w:pStyle w:val="ab"/>
      </w:pPr>
      <w:r>
        <w:t>社服板块中携程的表现如何？</w:t>
      </w:r>
    </w:p>
    <w:p>
      <w:r>
        <w:rPr>
          <w:rFonts w:ascii="等线(中文正文)" w:hAnsi="等线(中文正文)" w:cs="等线(中文正文)" w:eastAsia="等线(中文正文)"/>
          <w:b w:val="false"/>
          <w:i w:val="false"/>
          <w:sz w:val="20"/>
        </w:rPr>
        <w:t>发言人1：上一周，携程发布了二季度财报及指引，其估值迎来明显回调。二季度出行需求受到燃油成本上涨的负面影响，机票成本上升导致国内旅游人次和出境旅游人次有所下滑，但酒店ADR微升而OCP略有下降。交通业务二季度协同增速下滑20%到30%，其中5%的下滑源于量的减少，其余15%的下滑主要由于反垄断相关措施导致的佣金率或整体收入下滑。同时，出境增速同比持平，由于燃油价格高企影响出境量，酒店价格上升导致ADRI略有微降，整体上促进板块增速低于市场预期5到10个百分点。</w:t>
      </w:r>
    </w:p>
    <w:p>
      <w:r>
        <w:rPr>
          <w:rFonts w:ascii="等线(中文正文)" w:hAnsi="等线(中文正文)" w:cs="等线(中文正文)" w:eastAsia="等线(中文正文)"/>
          <w:b w:val="false"/>
          <w:i w:val="false"/>
          <w:sz w:val="20"/>
        </w:rPr>
        <w:t/>
      </w:r>
    </w:p>
    <w:p>
      <w:pPr>
        <w:pStyle w:val="ab"/>
      </w:pPr>
      <w:r>
        <w:t>携程的海外业务表现如何，以及目前的估值情况如何？对于暑期旺季及酒店行业的表现有何预期？</w:t>
      </w:r>
    </w:p>
    <w:p>
      <w:r>
        <w:rPr>
          <w:rFonts w:ascii="等线(中文正文)" w:hAnsi="等线(中文正文)" w:cs="等线(中文正文)" w:eastAsia="等线(中文正文)"/>
          <w:b w:val="false"/>
          <w:i w:val="false"/>
          <w:sz w:val="20"/>
        </w:rPr>
        <w:t>发言人1：携程的海外业务表现相对不错，预期能实现40%以上的增长。扣除反垄断可能落地的影响后，预计2026年业绩规模可达185亿至190亿水平，当前估值已接近十倍，非常便宜。但由于二季度和三季度可能会延续油价高位环境，出行需求受到抑制，市场对此持观察态度。端午节后国内出行将迎来暑期旺季，预计7月份需求量会有低个位数增长。酒店板块表现较好，随着出行需求回调，估值有所回落，目前华住和亚索蓝胶等公司估值在六八倍区间，是出行链中表现最好的板块之一，尤其在暑期旺季期间有望延续正增长。</w:t>
      </w:r>
    </w:p>
    <w:p>
      <w:r>
        <w:rPr>
          <w:rFonts w:ascii="等线(中文正文)" w:hAnsi="等线(中文正文)" w:cs="等线(中文正文)" w:eastAsia="等线(中文正文)"/>
          <w:b w:val="false"/>
          <w:i w:val="false"/>
          <w:sz w:val="20"/>
        </w:rPr>
        <w:t/>
      </w:r>
    </w:p>
    <w:p>
      <w:pPr>
        <w:pStyle w:val="ab"/>
      </w:pPr>
      <w:r>
        <w:t>在当前环境下，对携程及同程旅行的估值看法如何？</w:t>
      </w:r>
    </w:p>
    <w:p>
      <w:r>
        <w:rPr>
          <w:rFonts w:ascii="等线(中文正文)" w:hAnsi="等线(中文正文)" w:cs="等线(中文正文)" w:eastAsia="等线(中文正文)"/>
          <w:b w:val="false"/>
          <w:i w:val="false"/>
          <w:sz w:val="20"/>
        </w:rPr>
        <w:t>发言人1：尽管油价高企环境可能不会全年持续，但从长远看，协同产业的增长前景广阔，包括出境游、国内酒店及海外市场的发展。建议关注底部布局机会，但反弹周期可能会延后，至少需等待反垄断政策在酒店和交通领域落地后会有较好的估值反弹或修复时机。同程旅行二季度指引未大幅下调，估值较低，约为6到7倍，但随着携程估值指引调整，全年盈利预期可能会微幅下滑。</w:t>
      </w:r>
    </w:p>
    <w:p>
      <w:r>
        <w:rPr>
          <w:rFonts w:ascii="等线(中文正文)" w:hAnsi="等线(中文正文)" w:cs="等线(中文正文)" w:eastAsia="等线(中文正文)"/>
          <w:b w:val="false"/>
          <w:i w:val="false"/>
          <w:sz w:val="20"/>
        </w:rPr>
        <w:t/>
      </w:r>
    </w:p>
    <w:p>
      <w:pPr>
        <w:pStyle w:val="ab"/>
      </w:pPr>
      <w:r>
        <w:t>医药板块当前处于什么位置？有哪些投资建议？</w:t>
      </w:r>
    </w:p>
    <w:p>
      <w:r>
        <w:rPr>
          <w:rFonts w:ascii="等线(中文正文)" w:hAnsi="等线(中文正文)" w:cs="等线(中文正文)" w:eastAsia="等线(中文正文)"/>
          <w:b w:val="false"/>
          <w:i w:val="false"/>
          <w:sz w:val="20"/>
        </w:rPr>
        <w:t>发言人1：目前医药板块处于底部位置，资金面相对宽松，部分公司出现超跌情况。头部公司有回购和管理层增持动作，叠加美股医药回暖趋势，整体底部较为确定。从基本面看，创新药产业链和生命科学上游需求景气度高，业绩确定性强。推荐关注创新药产业链和创新药板块，其中CRO/CDMO板块自2024年中报起订单恢复增长，2025年中报时整个板块实现全面性业绩恢复和正增长，后续业绩有望进一步改善。</w:t>
      </w:r>
    </w:p>
    <w:p>
      <w:r>
        <w:rPr>
          <w:rFonts w:ascii="等线(中文正文)" w:hAnsi="等线(中文正文)" w:cs="等线(中文正文)" w:eastAsia="等线(中文正文)"/>
          <w:b w:val="false"/>
          <w:i w:val="false"/>
          <w:sz w:val="20"/>
        </w:rPr>
        <w:t/>
      </w:r>
    </w:p>
    <w:p>
      <w:pPr>
        <w:pStyle w:val="ab"/>
      </w:pPr>
      <w:r>
        <w:t>主动基金对于医药和非医药板块的持仓情况如何变化？C超板块目前是否处于订单业绩到资金传导的景气周期？</w:t>
      </w:r>
    </w:p>
    <w:p>
      <w:r>
        <w:rPr>
          <w:rFonts w:ascii="等线(中文正文)" w:hAnsi="等线(中文正文)" w:cs="等线(中文正文)" w:eastAsia="等线(中文正文)"/>
          <w:b w:val="false"/>
          <w:i w:val="false"/>
          <w:sz w:val="20"/>
        </w:rPr>
        <w:t>发言人1：医药主动基金的持仓从25年二季度的12.2%增长到了26年Q1的17%，而非医药基金中CDM的仓位也从25年Q2的0.48%提升到了26年Q1的1.03%。是的，C超板块确实存在这种订单业绩到资金的传导现象，现在进入新一轮景气周期。</w:t>
      </w:r>
    </w:p>
    <w:p>
      <w:r>
        <w:rPr>
          <w:rFonts w:ascii="等线(中文正文)" w:hAnsi="等线(中文正文)" w:cs="等线(中文正文)" w:eastAsia="等线(中文正文)"/>
          <w:b w:val="false"/>
          <w:i w:val="false"/>
          <w:sz w:val="20"/>
        </w:rPr>
        <w:t/>
      </w:r>
    </w:p>
    <w:p>
      <w:pPr>
        <w:pStyle w:val="ab"/>
      </w:pPr>
      <w:r>
        <w:t>CIO线和CDMO线两条线分别有哪些发展趋势？</w:t>
      </w:r>
    </w:p>
    <w:p>
      <w:r>
        <w:rPr>
          <w:rFonts w:ascii="等线(中文正文)" w:hAnsi="等线(中文正文)" w:cs="等线(中文正文)" w:eastAsia="等线(中文正文)"/>
          <w:b w:val="false"/>
          <w:i w:val="false"/>
          <w:sz w:val="20"/>
        </w:rPr>
        <w:t>发言人1：CIO线方面，国内研发景气度持续回暖，尤其是在创新药出海热潮下，CRO公司的需求量价均有提升，如昭衍新药和伊诺斯新签订单同比增长显著；CDMO线上的公司业绩增长稳健，且估值处于低位，尤其关注新分子类型的大单品放量情况，例如药明康德、泰格医药、昭衍新药等。</w:t>
      </w:r>
    </w:p>
    <w:p>
      <w:r>
        <w:rPr>
          <w:rFonts w:ascii="等线(中文正文)" w:hAnsi="等线(中文正文)" w:cs="等线(中文正文)" w:eastAsia="等线(中文正文)"/>
          <w:b w:val="false"/>
          <w:i w:val="false"/>
          <w:sz w:val="20"/>
        </w:rPr>
        <w:t/>
      </w:r>
    </w:p>
    <w:p>
      <w:pPr>
        <w:pStyle w:val="ab"/>
      </w:pPr>
      <w:r>
        <w:t>生命科学上游板块的投资机会是什么？</w:t>
      </w:r>
    </w:p>
    <w:p>
      <w:r>
        <w:rPr>
          <w:rFonts w:ascii="等线(中文正文)" w:hAnsi="等线(中文正文)" w:cs="等线(中文正文)" w:eastAsia="等线(中文正文)"/>
          <w:b w:val="false"/>
          <w:i w:val="false"/>
          <w:sz w:val="20"/>
        </w:rPr>
        <w:t>发言人1：生命科学上游板块作为CRO上游，受益于国内创新药研发景气度提升带来的需求回暖，以及新分子类型的创新需求，建议关注奥曼达、赛图、药方生物等公司。</w:t>
      </w:r>
    </w:p>
    <w:p>
      <w:r>
        <w:rPr>
          <w:rFonts w:ascii="等线(中文正文)" w:hAnsi="等线(中文正文)" w:cs="等线(中文正文)" w:eastAsia="等线(中文正文)"/>
          <w:b w:val="false"/>
          <w:i w:val="false"/>
          <w:sz w:val="20"/>
        </w:rPr>
        <w:t/>
      </w:r>
    </w:p>
    <w:p>
      <w:pPr>
        <w:pStyle w:val="ab"/>
      </w:pPr>
      <w:r>
        <w:t>农业板块中，生猪养殖和禽类板块有哪些投资建议？</w:t>
      </w:r>
    </w:p>
    <w:p>
      <w:r>
        <w:rPr>
          <w:rFonts w:ascii="等线(中文正文)" w:hAnsi="等线(中文正文)" w:cs="等线(中文正文)" w:eastAsia="等线(中文正文)"/>
          <w:b w:val="false"/>
          <w:i w:val="false"/>
          <w:sz w:val="20"/>
        </w:rPr>
        <w:t>发言人1：生猪养殖板块，看好产能去化的逻辑，推荐牧原、温氏、德康利华、神农天康等低成本优势和现金流较好的企业；禽类板块，尤其是黄羽鸡，端午节后价格表现向好，德康农牧和利华股份有望迎来较好的盈利机会。</w:t>
      </w:r>
    </w:p>
    <w:p>
      <w:r>
        <w:rPr>
          <w:rFonts w:ascii="等线(中文正文)" w:hAnsi="等线(中文正文)" w:cs="等线(中文正文)" w:eastAsia="等线(中文正文)"/>
          <w:b w:val="false"/>
          <w:i w:val="false"/>
          <w:sz w:val="20"/>
        </w:rPr>
        <w:t/>
      </w:r>
    </w:p>
    <w:p>
      <w:pPr>
        <w:pStyle w:val="ab"/>
      </w:pPr>
      <w:r>
        <w:t>种植板块中，国内外粮食市场的情况如何？</w:t>
      </w:r>
    </w:p>
    <w:p>
      <w:r>
        <w:rPr>
          <w:rFonts w:ascii="等线(中文正文)" w:hAnsi="等线(中文正文)" w:cs="等线(中文正文)" w:eastAsia="等线(中文正文)"/>
          <w:b w:val="false"/>
          <w:i w:val="false"/>
          <w:sz w:val="20"/>
        </w:rPr>
        <w:t>发言人1：全球小麦和大豆产需预期显示缺口，农户种植成本上升叠加全球粮食供应偏紧，有利于粮价中枢抬升。国内玉米种业供需改善，预计26-27年度玉米制种面积下滑，转基玉米大豆进入常规种植阶段，优质抗逆性品种市占率有望提升，重点推荐农村高科、抗农种业、登海、大白浓以及种植企业速腾和北大荒。</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2026-06-28T23:32:41Z</dcterms:created>
  <dc:creator>Apache POI</dc:creator>
</cp:coreProperties>
</file>