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弘则市场漫谈 市场状态的研判和AI线索的漫延 260628_导读</w:t>
      </w:r>
    </w:p>
    <w:p>
      <w:pPr>
        <w:pStyle w:val="a0"/>
        <w:jc w:val="center"/>
      </w:pPr>
      <w:r>
        <w:t>2026年06月29日 00:24</w:t>
      </w:r>
    </w:p>
    <w:p>
      <w:pPr>
        <w:pStyle w:val="a7"/>
      </w:pPr>
      <w:r>
        <w:t>关键词</w:t>
      </w:r>
    </w:p>
    <w:p>
      <w:r>
        <w:rPr>
          <w:rFonts w:ascii="等线(中文正文)" w:hAnsi="等线(中文正文)" w:cs="等线(中文正文)" w:eastAsia="等线(中文正文)"/>
          <w:b w:val="false"/>
          <w:i w:val="false"/>
          <w:sz w:val="20"/>
        </w:rPr>
        <w:t xml:space="preserve">市场分化 AI 美股 电力设备 情绪下行 业绩超预期 技术应用 存储 卡特比勒 verity 储能 碳酸锂 稀土 GB200 良率 订单 电力 AIDC 核电 燃气轮机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本次电话会议集中讨论了洪泽市场的复杂状态和AI技术的发展对市场的影响。市场被指出处于高度分化状态，投资者对市场规律的疑虑加深。特别强调了策略层面的挑战，如市场波动、情绪下行及分化严重。AI板块内部分裂明显，存储与硬件公司业绩支撑下表现各异，电力设备与核电标的相对突出。会议深入分析了电力需求增长，尤其是美国数据中心核心区域电力消耗的增加，以及碳酸锂价格变动对储能产业的影响，指出价格回落带来的积极效应。讨论覆盖市场状态、AI发展趋势、电力需求与储能产业发展，提出了应对挑战的见解和建议，凸显了市场分化、AI应用、电力需求及储能技术等关键议题的重要性。</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市场波动与AI线索的深入分析</w:t>
      </w:r>
    </w:p>
    <w:p>
      <w:r>
        <w:rPr>
          <w:rFonts w:ascii="等线(中文正文)" w:hAnsi="等线(中文正文)" w:cs="等线(中文正文)" w:eastAsia="等线(中文正文)"/>
          <w:b w:val="false"/>
          <w:i w:val="false"/>
          <w:sz w:val="20"/>
        </w:rPr>
        <w:t>会议聚焦市场策略调整、AI板块表现及电力设备变化，探讨了美股市场波动、电力设备行业趋势、以及涨价线索在AI主线中的扩散影响，旨在理解市场规律与产业现状。</w:t>
      </w:r>
    </w:p>
    <w:p>
      <w:r>
        <w:rPr>
          <w:rFonts w:ascii="等线(中文正文)" w:hAnsi="等线(中文正文)" w:cs="等线(中文正文)" w:eastAsia="等线(中文正文)"/>
          <w:b w:val="false"/>
          <w:i w:val="false"/>
          <w:sz w:val="20"/>
        </w:rPr>
        <w:t/>
      </w:r>
    </w:p>
    <w:p>
      <w:pPr>
        <w:pStyle w:val="ab"/>
        <w:numPr>
          <w:numId w:val="2"/>
        </w:numPr>
      </w:pPr>
      <w:r>
        <w:t>04:57 市场分化特征与AI行业波动风险分析</w:t>
      </w:r>
    </w:p>
    <w:p>
      <w:r>
        <w:rPr>
          <w:rFonts w:ascii="等线(中文正文)" w:hAnsi="等线(中文正文)" w:cs="等线(中文正文)" w:eastAsia="等线(中文正文)"/>
          <w:b w:val="false"/>
          <w:i w:val="false"/>
          <w:sz w:val="20"/>
        </w:rPr>
        <w:t>讨论了过去三个月行业收益率标准差的变化，指出市场分化达到历史高位，尤其在AI领域，短期内资金影响超过基本面，存在预期过高导致的波动风险。同时，回顾了2014年至2021年市场分化特征，强调短期波动与基本面不完全相关，AI行业面临技术应用挑战。</w:t>
      </w:r>
    </w:p>
    <w:p>
      <w:r>
        <w:rPr>
          <w:rFonts w:ascii="等线(中文正文)" w:hAnsi="等线(中文正文)" w:cs="等线(中文正文)" w:eastAsia="等线(中文正文)"/>
          <w:b w:val="false"/>
          <w:i w:val="false"/>
          <w:sz w:val="20"/>
        </w:rPr>
        <w:t/>
      </w:r>
    </w:p>
    <w:p>
      <w:pPr>
        <w:pStyle w:val="ab"/>
        <w:numPr>
          <w:numId w:val="3"/>
        </w:numPr>
      </w:pPr>
      <w:r>
        <w:t>09:51 市场波动与AI产业趋势分析</w:t>
      </w:r>
    </w:p>
    <w:p>
      <w:r>
        <w:rPr>
          <w:rFonts w:ascii="等线(中文正文)" w:hAnsi="等线(中文正文)" w:cs="等线(中文正文)" w:eastAsia="等线(中文正文)"/>
          <w:b w:val="false"/>
          <w:i w:val="false"/>
          <w:sz w:val="20"/>
        </w:rPr>
        <w:t>对话深入探讨了当前市场波动性增强的背景，特别是AI产业的趋势变化。指出市场在高度亢奋情绪下易放大波动，形成脆弱性，与4月初的市场状态不同。强调了电子和AI领域的持续机会，同时分析了全球制造业环境、油价波动等外部因素对市场的影响。提及6月对市场大风险的关注，但认为AI领域不会引发超大级别风险，而日本、印度等国的国债冲击可能埋下未来风险。最后，讨论了新技术推出对市场波动的潜在影响，并持续提示短期风险，基于对市场短期风险特征的描述和数据变化的分析。</w:t>
      </w:r>
    </w:p>
    <w:p>
      <w:r>
        <w:rPr>
          <w:rFonts w:ascii="等线(中文正文)" w:hAnsi="等线(中文正文)" w:cs="等线(中文正文)" w:eastAsia="等线(中文正文)"/>
          <w:b w:val="false"/>
          <w:i w:val="false"/>
          <w:sz w:val="20"/>
        </w:rPr>
        <w:t/>
      </w:r>
    </w:p>
    <w:p>
      <w:pPr>
        <w:pStyle w:val="ab"/>
        <w:numPr>
          <w:numId w:val="4"/>
        </w:numPr>
      </w:pPr>
      <w:r>
        <w:t>13:53 电力设备行业与AI发展关系探讨</w:t>
      </w:r>
    </w:p>
    <w:p>
      <w:r>
        <w:rPr>
          <w:rFonts w:ascii="等线(中文正文)" w:hAnsi="等线(中文正文)" w:cs="等线(中文正文)" w:eastAsia="等线(中文正文)"/>
          <w:b w:val="false"/>
          <w:i w:val="false"/>
          <w:sz w:val="20"/>
        </w:rPr>
        <w:t>对话围绕电力设备行业的发展及其与AI技术的关联展开，指出电力需求随气温上升而增加的趋势，以及美股电力设备公司如卡特、维D等在AI驱动下的强劲表现。讨论强调了订单确定性对股价的影响，以及国内外公司走势的一致性，同时提到了近期市场对短期风险的担忧导致的股价波动。</w:t>
      </w:r>
    </w:p>
    <w:p>
      <w:r>
        <w:rPr>
          <w:rFonts w:ascii="等线(中文正文)" w:hAnsi="等线(中文正文)" w:cs="等线(中文正文)" w:eastAsia="等线(中文正文)"/>
          <w:b w:val="false"/>
          <w:i w:val="false"/>
          <w:sz w:val="20"/>
        </w:rPr>
        <w:t/>
      </w:r>
    </w:p>
    <w:p>
      <w:pPr>
        <w:pStyle w:val="ab"/>
        <w:numPr>
          <w:numId w:val="5"/>
        </w:numPr>
      </w:pPr>
      <w:r>
        <w:t>19:21 AIDC电力需求与未来能源趋势分析</w:t>
      </w:r>
    </w:p>
    <w:p>
      <w:r>
        <w:rPr>
          <w:rFonts w:ascii="等线(中文正文)" w:hAnsi="等线(中文正文)" w:cs="等线(中文正文)" w:eastAsia="等线(中文正文)"/>
          <w:b w:val="false"/>
          <w:i w:val="false"/>
          <w:sz w:val="20"/>
        </w:rPr>
        <w:t>对话讨论了AIDC领域内电力需求的刚性特点及夏季自然灾害对电力需求的影响，指出电力需求与当前时机完美契合，可能成为边际变化的关键点。此外，产业变化中SOFCB1技术的上量、韩国斗山与维柴合作开发SFC产品，以及小型核电堆在AIDC发电端的应用前景被提及，这些技术进步和示范项目的推进，将推动行业长期演变，值得关注。</w:t>
      </w:r>
    </w:p>
    <w:p>
      <w:r>
        <w:rPr>
          <w:rFonts w:ascii="等线(中文正文)" w:hAnsi="等线(中文正文)" w:cs="等线(中文正文)" w:eastAsia="等线(中文正文)"/>
          <w:b w:val="false"/>
          <w:i w:val="false"/>
          <w:sz w:val="20"/>
        </w:rPr>
        <w:t/>
      </w:r>
    </w:p>
    <w:p>
      <w:pPr>
        <w:pStyle w:val="ab"/>
        <w:numPr>
          <w:numId w:val="6"/>
        </w:numPr>
      </w:pPr>
      <w:r>
        <w:t>23:55 AIDC领域确定性与催化剂分析</w:t>
      </w:r>
    </w:p>
    <w:p>
      <w:r>
        <w:rPr>
          <w:rFonts w:ascii="等线(中文正文)" w:hAnsi="等线(中文正文)" w:cs="等线(中文正文)" w:eastAsia="等线(中文正文)"/>
          <w:b w:val="false"/>
          <w:i w:val="false"/>
          <w:sz w:val="20"/>
        </w:rPr>
        <w:t>对话围绕AIDC领域的确定性和催化剂展开，首先强调了全球电力短缺带来的确定性，以及天气因素对事件性线索的影响。其次，讨论了AI硬件两条线索：ruby预期与GB200到GB300放量，以及它们如何影响电力需求和建设。最后，提及电力短缺引发的二阶影响，如SOFC技术合作、核电和燃气轮机需求增长，以及FTAIF航空发动机套利策略，指出电力设备需求在当前环境下具有确定性和催化剂作用。</w:t>
      </w:r>
    </w:p>
    <w:p>
      <w:r>
        <w:rPr>
          <w:rFonts w:ascii="等线(中文正文)" w:hAnsi="等线(中文正文)" w:cs="等线(中文正文)" w:eastAsia="等线(中文正文)"/>
          <w:b w:val="false"/>
          <w:i w:val="false"/>
          <w:sz w:val="20"/>
        </w:rPr>
        <w:t/>
      </w:r>
    </w:p>
    <w:p>
      <w:pPr>
        <w:pStyle w:val="ab"/>
        <w:numPr>
          <w:numId w:val="7"/>
        </w:numPr>
      </w:pPr>
      <w:r>
        <w:t>28:36 碳酸锂价格波动与储能产业需求分析</w:t>
      </w:r>
    </w:p>
    <w:p>
      <w:r>
        <w:rPr>
          <w:rFonts w:ascii="等线(中文正文)" w:hAnsi="等线(中文正文)" w:cs="等线(中文正文)" w:eastAsia="等线(中文正文)"/>
          <w:b w:val="false"/>
          <w:i w:val="false"/>
          <w:sz w:val="20"/>
        </w:rPr>
        <w:t>近期碳酸锂价格从20万降至15万左右，影响储能产业链。储能需求曾受补贴推动，但补贴减弱可能致需求走弱。碳酸锂价格过高影响大厨项目收益率，降至15-20万为产业链可接受状态。</w:t>
      </w:r>
    </w:p>
    <w:p>
      <w:r>
        <w:rPr>
          <w:rFonts w:ascii="等线(中文正文)" w:hAnsi="等线(中文正文)" w:cs="等线(中文正文)" w:eastAsia="等线(中文正文)"/>
          <w:b w:val="false"/>
          <w:i w:val="false"/>
          <w:sz w:val="20"/>
        </w:rPr>
        <w:t/>
      </w:r>
    </w:p>
    <w:p>
      <w:pPr>
        <w:pStyle w:val="ab"/>
        <w:numPr>
          <w:numId w:val="8"/>
        </w:numPr>
      </w:pPr>
      <w:r>
        <w:t>33:24 光伏与储能行业的发展逻辑与投资分析</w:t>
      </w:r>
    </w:p>
    <w:p>
      <w:r>
        <w:rPr>
          <w:rFonts w:ascii="等线(中文正文)" w:hAnsi="等线(中文正文)" w:cs="等线(中文正文)" w:eastAsia="等线(中文正文)"/>
          <w:b w:val="false"/>
          <w:i w:val="false"/>
          <w:sz w:val="20"/>
        </w:rPr>
        <w:t>对话深入探讨了光伏和储能行业的投资逻辑，指出阳光金融等企业依赖行业红利而非技术优势，建议在盈利超预期时保持警惕。对于储能行业，分析了其空间可能被高估的问题，但同时强调价格下降和市场拓展将带来增量需求，因此整体持谨慎乐观态度。</w:t>
      </w:r>
    </w:p>
    <w:p>
      <w:r>
        <w:rPr>
          <w:rFonts w:ascii="等线(中文正文)" w:hAnsi="等线(中文正文)" w:cs="等线(中文正文)" w:eastAsia="等线(中文正文)"/>
          <w:b w:val="false"/>
          <w:i w:val="false"/>
          <w:sz w:val="20"/>
        </w:rPr>
        <w:t/>
      </w:r>
    </w:p>
    <w:p>
      <w:pPr>
        <w:pStyle w:val="ab"/>
        <w:numPr>
          <w:numId w:val="9"/>
        </w:numPr>
      </w:pPr>
      <w:r>
        <w:t>39:20 锂电行业价格波动与储能需求分析</w:t>
      </w:r>
    </w:p>
    <w:p>
      <w:r>
        <w:rPr>
          <w:rFonts w:ascii="等线(中文正文)" w:hAnsi="等线(中文正文)" w:cs="等线(中文正文)" w:eastAsia="等线(中文正文)"/>
          <w:b w:val="false"/>
          <w:i w:val="false"/>
          <w:sz w:val="20"/>
        </w:rPr>
        <w:t>对话围绕锂电行业价格波动与储能需求展开，指出碳酸锂价格变化影响盈利预期，储能应用成本回落推动需求增长。分析了产业链中瓶颈环节与价格弹性，如电解液相关产品因高集中度易出现价格波动，而短期供需变化或政策因素亦可能引发价格波动。此外，还提及了石油化工原料短缺对锂电材料价格的影响。</w:t>
      </w:r>
    </w:p>
    <w:p>
      <w:r>
        <w:rPr>
          <w:rFonts w:ascii="等线(中文正文)" w:hAnsi="等线(中文正文)" w:cs="等线(中文正文)" w:eastAsia="等线(中文正文)"/>
          <w:b w:val="false"/>
          <w:i w:val="false"/>
          <w:sz w:val="20"/>
        </w:rPr>
        <w:t/>
      </w:r>
    </w:p>
    <w:p>
      <w:pPr>
        <w:pStyle w:val="ab"/>
        <w:numPr>
          <w:numId w:val="10"/>
        </w:numPr>
      </w:pPr>
      <w:r>
        <w:t>47:03 产业链景气度提升与市场风格变化分析</w:t>
      </w:r>
    </w:p>
    <w:p>
      <w:r>
        <w:rPr>
          <w:rFonts w:ascii="等线(中文正文)" w:hAnsi="等线(中文正文)" w:cs="等线(中文正文)" w:eastAsia="等线(中文正文)"/>
          <w:b w:val="false"/>
          <w:i w:val="false"/>
          <w:sz w:val="20"/>
        </w:rPr>
        <w:t>对话讨论了产业链景气度提升背景下，市场风格变化的可能性及催化剂来源。指出订单确定性、产能投入与AIDC建设、下游客户对高成本容忍度提升等因素，推动了电力设备等相关行业表现突出。同时，上游电解液添加剂等环节价格弹性大，可能成为行业瓶颈。总结了过去几周市场分化的原因，并分析了美股中电力设备公司表现优异的三大核心原因，包括订单确定性、持续的景气度提升及新技术带来的看点。</w:t>
      </w:r>
    </w:p>
    <w:p>
      <w:r>
        <w:rPr>
          <w:rFonts w:ascii="等线(中文正文)" w:hAnsi="等线(中文正文)" w:cs="等线(中文正文)" w:eastAsia="等线(中文正文)"/>
          <w:b w:val="false"/>
          <w:i w:val="false"/>
          <w:sz w:val="20"/>
        </w:rPr>
        <w:t/>
      </w:r>
    </w:p>
    <w:p>
      <w:pPr>
        <w:pStyle w:val="ab"/>
        <w:numPr>
          <w:numId w:val="11"/>
        </w:numPr>
      </w:pPr>
      <w:r>
        <w:t>50:18 储能与上游材料涨价：市场机会与策略探讨</w:t>
      </w:r>
    </w:p>
    <w:p>
      <w:r>
        <w:rPr>
          <w:rFonts w:ascii="等线(中文正文)" w:hAnsi="等线(中文正文)" w:cs="等线(中文正文)" w:eastAsia="等线(中文正文)"/>
          <w:b w:val="false"/>
          <w:i w:val="false"/>
          <w:sz w:val="20"/>
        </w:rPr>
        <w:t>讨论了储能行业的发展趋势、碳酸锂价格回落对市场的影响，以及上游材料涨价带来的机会。强调了关注二季度业绩超预期的环节，而非进行风格切换。推荐关注电力设备和电力紧缺领域，邀请参与者探讨洪泽策略、宏观风险判断及制造业产业研究。</w:t>
      </w:r>
    </w:p>
    <w:p>
      <w:r>
        <w:rPr>
          <w:rFonts w:ascii="等线(中文正文)" w:hAnsi="等线(中文正文)" w:cs="等线(中文正文)" w:eastAsia="等线(中文正文)"/>
          <w:b w:val="false"/>
          <w:i w:val="false"/>
          <w:sz w:val="20"/>
        </w:rPr>
        <w:t/>
      </w:r>
    </w:p>
    <w:p>
      <w:pPr>
        <w:pStyle w:val="a7"/>
      </w:pPr>
      <w:r>
        <w:t>发言总结</w:t>
      </w:r>
    </w:p>
    <w:p>
      <w:pPr>
        <w:pStyle w:val="ab"/>
        <w:numPr>
          <w:numId w:val="12"/>
        </w:numPr>
      </w:pPr>
      <w:r>
        <w:t>发言人1</w:t>
      </w:r>
    </w:p>
    <w:p>
      <w:r>
        <w:rPr>
          <w:rFonts w:ascii="等线(中文正文)" w:hAnsi="等线(中文正文)" w:cs="等线(中文正文)" w:eastAsia="等线(中文正文)"/>
          <w:b w:val="false"/>
          <w:i w:val="false"/>
          <w:sz w:val="20"/>
        </w:rPr>
        <w:t>主持并介绍了本次洪泽市场漫谈的电话会议，强调了市场状态的研判和AI线索蔓延的重要性。本次会议特邀了马老师和杨老师作为主讲老师，主要讨论了市场分化、AI板块的分裂、电力设备和储能领域的发展以及相关投资机会。他提到，尽管过去两周市场出现极端分化，但短周期内的市场风格变化仍需关注。讨论还涵盖了美国电力消耗提前高峰、电力设备和储能的需求增长，以及上游材料价格波动对市场的影响。他强调了电力设备和储能领域在未来发展中持续增长的潜力，并提醒投资者关注能带来价格弹性的上游材料环节。此外，他鼓励参会者与研究团队保持沟通，以便深入了解市场动态和投资机会。</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问：如何看待当前市场状态与未来趋势？</w:t>
      </w:r>
    </w:p>
    <w:p>
      <w:r>
        <w:rPr>
          <w:rFonts w:ascii="等线(中文正文)" w:hAnsi="等线(中文正文)" w:cs="等线(中文正文)" w:eastAsia="等线(中文正文)"/>
          <w:b w:val="false"/>
          <w:i w:val="false"/>
          <w:sz w:val="20"/>
        </w:rPr>
        <w:t>发言人1 答：当前市场正经历一个特殊的分化周期和情绪上行阶段，每一次暴跌似乎都成为较好的加仓时机。然而，历史上市场的这种分化收敛过程形成了稳定的规律。尽管如此，整体市场的牛市趋势和产业趋势并未结束，全球经济环境、出口数据等因素均支持这一观点。同时，我们也关注到整体市场的风险，但不认为AI会带来超大级别的市场风险，而更倾向于印度国债问题等其他因素可能成为未来市场大风险的重要来源。</w:t>
      </w:r>
    </w:p>
    <w:p>
      <w:r>
        <w:rPr>
          <w:rFonts w:ascii="等线(中文正文)" w:hAnsi="等线(中文正文)" w:cs="等线(中文正文)" w:eastAsia="等线(中文正文)"/>
          <w:b w:val="false"/>
          <w:i w:val="false"/>
          <w:sz w:val="20"/>
        </w:rPr>
        <w:t/>
      </w:r>
    </w:p>
    <w:p>
      <w:pPr>
        <w:pStyle w:val="ab"/>
      </w:pPr>
      <w:r>
        <w:t>发言人1 问：在当前市场状态下，有哪些核心问题需要关注？</w:t>
      </w:r>
    </w:p>
    <w:p>
      <w:r>
        <w:rPr>
          <w:rFonts w:ascii="等线(中文正文)" w:hAnsi="等线(中文正文)" w:cs="等线(中文正文)" w:eastAsia="等线(中文正文)"/>
          <w:b w:val="false"/>
          <w:i w:val="false"/>
          <w:sz w:val="20"/>
        </w:rPr>
        <w:t>发言人1 答：目前市场中核心问题主要集中在两个方面。第一是策略层面，最近两周市场波动剧烈，客户对市场规律的有效性及逻辑产生质疑，我们将探讨这一现象并试图解释其背后的规律和逻辑。第二个关注点是美股AI板块内部出现了明显的分化，存储类公司如美光在高业绩支持下持续上涨，而以英伟达为代表的硬件公司则宽幅震荡，同时电力设备类公司如 vert 和卡特比勒表现突出，这些变化值得深入探讨。</w:t>
      </w:r>
    </w:p>
    <w:p>
      <w:r>
        <w:rPr>
          <w:rFonts w:ascii="等线(中文正文)" w:hAnsi="等线(中文正文)" w:cs="等线(中文正文)" w:eastAsia="等线(中文正文)"/>
          <w:b w:val="false"/>
          <w:i w:val="false"/>
          <w:sz w:val="20"/>
        </w:rPr>
        <w:t/>
      </w:r>
    </w:p>
    <w:p>
      <w:pPr>
        <w:pStyle w:val="ab"/>
      </w:pPr>
      <w:r>
        <w:t>发言人1 问：从产业角度看，储能、电力设备等领域的情况如何？</w:t>
      </w:r>
    </w:p>
    <w:p>
      <w:r>
        <w:rPr>
          <w:rFonts w:ascii="等线(中文正文)" w:hAnsi="等线(中文正文)" w:cs="等线(中文正文)" w:eastAsia="等线(中文正文)"/>
          <w:b w:val="false"/>
          <w:i w:val="false"/>
          <w:sz w:val="20"/>
        </w:rPr>
        <w:t>发言人1 答：在过去半年里，储能和电力设备等行业经历了基本面的诸多波动，例如阳光电源Q1业绩miss、碳酸锂价格涨跌等。现在希望分析国内这些产业所处的具体环节及其变化情况。</w:t>
      </w:r>
    </w:p>
    <w:p>
      <w:r>
        <w:rPr>
          <w:rFonts w:ascii="等线(中文正文)" w:hAnsi="等线(中文正文)" w:cs="等线(中文正文)" w:eastAsia="等线(中文正文)"/>
          <w:b w:val="false"/>
          <w:i w:val="false"/>
          <w:sz w:val="20"/>
        </w:rPr>
        <w:t/>
      </w:r>
    </w:p>
    <w:p>
      <w:pPr>
        <w:pStyle w:val="ab"/>
      </w:pPr>
      <w:r>
        <w:t>发言人1 问：今年涨价线索对市场的影响如何？</w:t>
      </w:r>
    </w:p>
    <w:p>
      <w:r>
        <w:rPr>
          <w:rFonts w:ascii="等线(中文正文)" w:hAnsi="等线(中文正文)" w:cs="等线(中文正文)" w:eastAsia="等线(中文正文)"/>
          <w:b w:val="false"/>
          <w:i w:val="false"/>
          <w:sz w:val="20"/>
        </w:rPr>
        <w:t>发言人1 答：今年涨价线索成为市场高度关注的环节，不仅光模块、PCB、存储等核心电子板块有所表现，甚至连氦气、中船特气、稀土材料等上游材料价格也出现显著涨幅。电力设备领域同样涉及大量上游材料环节，我们需要关注是否会像其他领域一样出现涨价扩散的现象。</w:t>
      </w:r>
    </w:p>
    <w:p>
      <w:r>
        <w:rPr>
          <w:rFonts w:ascii="等线(中文正文)" w:hAnsi="等线(中文正文)" w:cs="等线(中文正文)" w:eastAsia="等线(中文正文)"/>
          <w:b w:val="false"/>
          <w:i w:val="false"/>
          <w:sz w:val="20"/>
        </w:rPr>
        <w:t/>
      </w:r>
    </w:p>
    <w:p>
      <w:pPr>
        <w:pStyle w:val="ab"/>
      </w:pPr>
      <w:r>
        <w:t>发言人1 问：目前市场状态有哪些值得关注的要素？</w:t>
      </w:r>
    </w:p>
    <w:p>
      <w:r>
        <w:rPr>
          <w:rFonts w:ascii="等线(中文正文)" w:hAnsi="等线(中文正文)" w:cs="等线(中文正文)" w:eastAsia="等线(中文正文)"/>
          <w:b w:val="false"/>
          <w:i w:val="false"/>
          <w:sz w:val="20"/>
        </w:rPr>
        <w:t>发言人1 答：过去三个月行业之间的收益率标准差处于较高水平，市场呈现出极端分化的特征，不仅超过了2021年九月和2015年TMT行业的分化程度。市场的这种高度分化状态并非永久不变，且短期资金的影响可能比基本面的影响更重要或更大。</w:t>
      </w:r>
    </w:p>
    <w:p>
      <w:r>
        <w:rPr>
          <w:rFonts w:ascii="等线(中文正文)" w:hAnsi="等线(中文正文)" w:cs="等线(中文正文)" w:eastAsia="等线(中文正文)"/>
          <w:b w:val="false"/>
          <w:i w:val="false"/>
          <w:sz w:val="20"/>
        </w:rPr>
        <w:t/>
      </w:r>
    </w:p>
    <w:p>
      <w:pPr>
        <w:pStyle w:val="ab"/>
      </w:pPr>
      <w:r>
        <w:t>发言人1 问：对于AI行业的看法及其风险点是什么？</w:t>
      </w:r>
    </w:p>
    <w:p>
      <w:r>
        <w:rPr>
          <w:rFonts w:ascii="等线(中文正文)" w:hAnsi="等线(中文正文)" w:cs="等线(中文正文)" w:eastAsia="等线(中文正文)"/>
          <w:b w:val="false"/>
          <w:i w:val="false"/>
          <w:sz w:val="20"/>
        </w:rPr>
        <w:t>发言人1 答：我们并不认为AI面临泡沫破灭的风险，但短期内由于市场对AI过高的预期，在新技术应用过程中可能会出现超出预期的波动风险。例如，在Hopper架构向GB200架构切换时，毛利率曾出现回落、良率不及预期等问题。目前市场对于AI的热情极高，容易放大中间产生的任何波动，从而增加市场的脆弱性。</w:t>
      </w:r>
    </w:p>
    <w:p>
      <w:r>
        <w:rPr>
          <w:rFonts w:ascii="等线(中文正文)" w:hAnsi="等线(中文正文)" w:cs="等线(中文正文)" w:eastAsia="等线(中文正文)"/>
          <w:b w:val="false"/>
          <w:i w:val="false"/>
          <w:sz w:val="20"/>
        </w:rPr>
        <w:t/>
      </w:r>
    </w:p>
    <w:p>
      <w:pPr>
        <w:pStyle w:val="ab"/>
      </w:pPr>
      <w:r>
        <w:t>发言人1 问：在市场出现调整中，您认为主要的驱动因素是什么？</w:t>
      </w:r>
    </w:p>
    <w:p>
      <w:r>
        <w:rPr>
          <w:rFonts w:ascii="等线(中文正文)" w:hAnsi="等线(中文正文)" w:cs="等线(中文正文)" w:eastAsia="等线(中文正文)"/>
          <w:b w:val="false"/>
          <w:i w:val="false"/>
          <w:sz w:val="20"/>
        </w:rPr>
        <w:t>发言人1 答：市场调整的主要原因并非美国鹰派政策或金融杠杆破灭，而是随着市场持续上涨形成的脆弱性以及新技术在GB200 300、very ruby切换过程中带来的良率问题、产能爬坡波动等多重因素叠加，这些构成了市场波动的核心来源。近期我们持续提示短期风险，是因为极端分化的市场环境和具体数据变化。</w:t>
      </w:r>
    </w:p>
    <w:p>
      <w:r>
        <w:rPr>
          <w:rFonts w:ascii="等线(中文正文)" w:hAnsi="等线(中文正文)" w:cs="等线(中文正文)" w:eastAsia="等线(中文正文)"/>
          <w:b w:val="false"/>
          <w:i w:val="false"/>
          <w:sz w:val="20"/>
        </w:rPr>
        <w:t/>
      </w:r>
    </w:p>
    <w:p>
      <w:pPr>
        <w:pStyle w:val="ab"/>
      </w:pPr>
      <w:r>
        <w:t>发言人1 问：对于电力设备环节的发展情况，您有何见解？最近美股电力设备相关公司的表现如何？</w:t>
      </w:r>
    </w:p>
    <w:p>
      <w:r>
        <w:rPr>
          <w:rFonts w:ascii="等线(中文正文)" w:hAnsi="等线(中文正文)" w:cs="等线(中文正文)" w:eastAsia="等线(中文正文)"/>
          <w:b w:val="false"/>
          <w:i w:val="false"/>
          <w:sz w:val="20"/>
        </w:rPr>
        <w:t>发言人1 答：今年一季度开始，电力设备领域在AI发展中并不突出。但值得注意的是，美国数据中心核心电网区域的电力消耗呈现出比往年更早达到高峰的特征。随着六月份至七月份气温逐渐上升，电力需求的上升可能成为持续关注的焦点，今年夏天可能会反复出现这一特点。上周存储业绩超预期，成为市场焦点，同时卡特比勒和Verity等公司的市场表现也非常出色，屡创新高。相比之下，Google和英伟达的表现则较为疲软。</w:t>
      </w:r>
    </w:p>
    <w:p>
      <w:r>
        <w:rPr>
          <w:rFonts w:ascii="等线(中文正文)" w:hAnsi="等线(中文正文)" w:cs="等线(中文正文)" w:eastAsia="等线(中文正文)"/>
          <w:b w:val="false"/>
          <w:i w:val="false"/>
          <w:sz w:val="20"/>
        </w:rPr>
        <w:t/>
      </w:r>
    </w:p>
    <w:p>
      <w:pPr>
        <w:pStyle w:val="ab"/>
      </w:pPr>
      <w:r>
        <w:t>发言人1 问：能否请云鹏简单介绍下美股电力设备公司近期的变化及边际变化值得关注的要素？</w:t>
      </w:r>
    </w:p>
    <w:p>
      <w:r>
        <w:rPr>
          <w:rFonts w:ascii="等线(中文正文)" w:hAnsi="等线(中文正文)" w:cs="等线(中文正文)" w:eastAsia="等线(中文正文)"/>
          <w:b w:val="false"/>
          <w:i w:val="false"/>
          <w:sz w:val="20"/>
        </w:rPr>
        <w:t>发言人1 答：自四月份以来，卡特和维D等公司的发展与整个AIDC的变化紧密相关，财报显示其订单持续性强且利润大超预期。二季度至今几乎没有大的调整，其走势与国内类似公司麦格米特等基本一致，主要受到AI驱动。最近两周，在国内短期风险上升时，这些公司表现出了更强的确定性。</w:t>
      </w:r>
    </w:p>
    <w:p>
      <w:r>
        <w:rPr>
          <w:rFonts w:ascii="等线(中文正文)" w:hAnsi="等线(中文正文)" w:cs="等线(中文正文)" w:eastAsia="等线(中文正文)"/>
          <w:b w:val="false"/>
          <w:i w:val="false"/>
          <w:sz w:val="20"/>
        </w:rPr>
        <w:t/>
      </w:r>
    </w:p>
    <w:p>
      <w:pPr>
        <w:pStyle w:val="ab"/>
      </w:pPr>
      <w:r>
        <w:t>发言人1 问：在当前订单表现突出的情况下，未来哪些因素可能会进一步超预期并增加市场关注度？</w:t>
      </w:r>
    </w:p>
    <w:p>
      <w:r>
        <w:rPr>
          <w:rFonts w:ascii="等线(中文正文)" w:hAnsi="等线(中文正文)" w:cs="等线(中文正文)" w:eastAsia="等线(中文正文)"/>
          <w:b w:val="false"/>
          <w:i w:val="false"/>
          <w:sz w:val="20"/>
        </w:rPr>
        <w:t>发言人1 答：从确定性角度看，这些企业订单周期内表现优异。往后面看，增量的催化剂可能来自夏季美国自然灾害导致用电不确定性增加，电力需求上升；另外，随着大规模集中建设燃机，SOFCB1等清洁能源技术将开始上量，以及韩国斗山等公司采用授权技术进入该领域，这些都构成了未来AIDC发电端的变化。同时，小型核电堆因其契合AI发展的需求，尽管目前在技术和政策上处于示范阶段，但随着技术进步和政策推动，未来有望实现商业化，成为推进AIDC产业演变的重要因素。</w:t>
      </w:r>
    </w:p>
    <w:p>
      <w:r>
        <w:rPr>
          <w:rFonts w:ascii="等线(中文正文)" w:hAnsi="等线(中文正文)" w:cs="等线(中文正文)" w:eastAsia="等线(中文正文)"/>
          <w:b w:val="false"/>
          <w:i w:val="false"/>
          <w:sz w:val="20"/>
        </w:rPr>
        <w:t/>
      </w:r>
    </w:p>
    <w:p>
      <w:pPr>
        <w:pStyle w:val="ab"/>
      </w:pPr>
      <w:r>
        <w:t>发言人1 问：在AI领域，目前有哪些主要的硬件线索？</w:t>
      </w:r>
    </w:p>
    <w:p>
      <w:r>
        <w:rPr>
          <w:rFonts w:ascii="等线(中文正文)" w:hAnsi="等线(中文正文)" w:cs="等线(中文正文)" w:eastAsia="等线(中文正文)"/>
          <w:b w:val="false"/>
          <w:i w:val="false"/>
          <w:sz w:val="20"/>
        </w:rPr>
        <w:t>发言人1 答：目前AI领域的硬件线索主要分为两条线。第一条是关于Ruby技术架构变化带来的对未来量的预期；第二条则是当下GB200到GB300的放量，以及随之而来的token需求量上升和持续通电建设环节的影响。</w:t>
      </w:r>
    </w:p>
    <w:p>
      <w:r>
        <w:rPr>
          <w:rFonts w:ascii="等线(中文正文)" w:hAnsi="等线(中文正文)" w:cs="等线(中文正文)" w:eastAsia="等线(中文正文)"/>
          <w:b w:val="false"/>
          <w:i w:val="false"/>
          <w:sz w:val="20"/>
        </w:rPr>
        <w:t/>
      </w:r>
    </w:p>
    <w:p>
      <w:pPr>
        <w:pStyle w:val="ab"/>
      </w:pPr>
      <w:r>
        <w:t>发言人1 问：行业缺电会带来哪些二阶影响？</w:t>
      </w:r>
    </w:p>
    <w:p>
      <w:r>
        <w:rPr>
          <w:rFonts w:ascii="等线(中文正文)" w:hAnsi="等线(中文正文)" w:cs="等线(中文正文)" w:eastAsia="等线(中文正文)"/>
          <w:b w:val="false"/>
          <w:i w:val="false"/>
          <w:sz w:val="20"/>
        </w:rPr>
        <w:t>发言人1 答：随着电力供给不足，会衍生出高成本解决方案，如SOFCBE等技术的应用，例如陡山和潍柴的SOFC合作项目。这体现了行业紧缺状态下产生的新的技术和市场变化。</w:t>
      </w:r>
    </w:p>
    <w:p>
      <w:r>
        <w:rPr>
          <w:rFonts w:ascii="等线(中文正文)" w:hAnsi="等线(中文正文)" w:cs="等线(中文正文)" w:eastAsia="等线(中文正文)"/>
          <w:b w:val="false"/>
          <w:i w:val="false"/>
          <w:sz w:val="20"/>
        </w:rPr>
        <w:t/>
      </w:r>
    </w:p>
    <w:p>
      <w:pPr>
        <w:pStyle w:val="ab"/>
      </w:pPr>
      <w:r>
        <w:t>发言人1 问：当前电力设备需求的特点是什么？</w:t>
      </w:r>
    </w:p>
    <w:p>
      <w:r>
        <w:rPr>
          <w:rFonts w:ascii="等线(中文正文)" w:hAnsi="等线(中文正文)" w:cs="等线(中文正文)" w:eastAsia="等线(中文正文)"/>
          <w:b w:val="false"/>
          <w:i w:val="false"/>
          <w:sz w:val="20"/>
        </w:rPr>
        <w:t>发言人1 答：当前电力设备需求具有确定性与催化剂的特点，大量GB200到300的放量带动了投产环节，同时高度瓶颈也催生了一系列新技术和缓解性催化剂的涌入。</w:t>
      </w:r>
    </w:p>
    <w:p>
      <w:r>
        <w:rPr>
          <w:rFonts w:ascii="等线(中文正文)" w:hAnsi="等线(中文正文)" w:cs="等线(中文正文)" w:eastAsia="等线(中文正文)"/>
          <w:b w:val="false"/>
          <w:i w:val="false"/>
          <w:sz w:val="20"/>
        </w:rPr>
        <w:t/>
      </w:r>
    </w:p>
    <w:p>
      <w:pPr>
        <w:pStyle w:val="ab"/>
      </w:pPr>
      <w:r>
        <w:t>发言人1 问：国内储能环节目前产业状态及关注点是什么？</w:t>
      </w:r>
    </w:p>
    <w:p>
      <w:r>
        <w:rPr>
          <w:rFonts w:ascii="等线(中文正文)" w:hAnsi="等线(中文正文)" w:cs="等线(中文正文)" w:eastAsia="等线(中文正文)"/>
          <w:b w:val="false"/>
          <w:i w:val="false"/>
          <w:sz w:val="20"/>
        </w:rPr>
        <w:t>发言人1 答：国内储能环节在经历Q1阳光业绩miss后，市场存在质疑和担忧。碳酸锂价格从高位回落至约15万元/吨，与基本面因素交织在一起。近期调研发现，虽然补贴政策逐渐减弱可能影响长期需求，但短期数据变化不大。此外，关注点在于储能终端需求的持续性和上游碳酸锂价格对于储能投资收益率的影响。</w:t>
      </w:r>
    </w:p>
    <w:p>
      <w:r>
        <w:rPr>
          <w:rFonts w:ascii="等线(中文正文)" w:hAnsi="等线(中文正文)" w:cs="等线(中文正文)" w:eastAsia="等线(中文正文)"/>
          <w:b w:val="false"/>
          <w:i w:val="false"/>
          <w:sz w:val="20"/>
        </w:rPr>
        <w:t/>
      </w:r>
    </w:p>
    <w:p>
      <w:pPr>
        <w:pStyle w:val="ab"/>
      </w:pPr>
      <w:r>
        <w:t>发言人1 问：储能项目是否会因上游碳酸锂价格上涨而受影响？如何看待当前碳酸锂价格回落的现象？</w:t>
      </w:r>
    </w:p>
    <w:p>
      <w:r>
        <w:rPr>
          <w:rFonts w:ascii="等线(中文正文)" w:hAnsi="等线(中文正文)" w:cs="等线(中文正文)" w:eastAsia="等线(中文正文)"/>
          <w:b w:val="false"/>
          <w:i w:val="false"/>
          <w:sz w:val="20"/>
        </w:rPr>
        <w:t>发言人1 答：上游碳酸锂价格上涨至25万甚至30万时，对于下游储能投资商而言，收益率将接近或变为负数。因此，储能投资商在碳酸锂价格超过20万时会考虑等待或推迟项目投资，除非有政策性要求必须在特定时间完成投资计划。碳酸锂价格从20万左右回落至15万至20万区间是一个正常变化，这个价格范围对上游公司的盈利性和中游、下游企业的成本承受能力都较为友好。储能需求的封闭式增长和去年的技术积累效应导致需求增速放缓，使得碳酸锂需求出现回落，预计价格将在15万至20万之间稳定在一个相对正常的水平。</w:t>
      </w:r>
    </w:p>
    <w:p>
      <w:r>
        <w:rPr>
          <w:rFonts w:ascii="等线(中文正文)" w:hAnsi="等线(中文正文)" w:cs="等线(中文正文)" w:eastAsia="等线(中文正文)"/>
          <w:b w:val="false"/>
          <w:i w:val="false"/>
          <w:sz w:val="20"/>
        </w:rPr>
        <w:t/>
      </w:r>
    </w:p>
    <w:p>
      <w:pPr>
        <w:pStyle w:val="ab"/>
      </w:pPr>
      <w:r>
        <w:t>发言人1 问：对于阳光金融（可能指阳光电源）的看法是怎样的？</w:t>
      </w:r>
    </w:p>
    <w:p>
      <w:r>
        <w:rPr>
          <w:rFonts w:ascii="等线(中文正文)" w:hAnsi="等线(中文正文)" w:cs="等线(中文正文)" w:eastAsia="等线(中文正文)"/>
          <w:b w:val="false"/>
          <w:i w:val="false"/>
          <w:sz w:val="20"/>
        </w:rPr>
        <w:t>发言人1 答：阳光金融在过去成功的关键在于量的增长逻辑，它的盈利状况往往随行业红利波动。当盈利超预期时，风险性增大；而当盈利显著下滑时，大概率会恢复。阳光金融在产业链中的定位与宁德时代不同，它依赖于行业的整体增长，而宁德时代则通过技术优势和品牌溢价实现了较高的毛利率。对于储能业务，虽然空间看似广阔，但增速较快可能导致空间不如想象中那么大。</w:t>
      </w:r>
    </w:p>
    <w:p>
      <w:r>
        <w:rPr>
          <w:rFonts w:ascii="等线(中文正文)" w:hAnsi="等线(中文正文)" w:cs="等线(中文正文)" w:eastAsia="等线(中文正文)"/>
          <w:b w:val="false"/>
          <w:i w:val="false"/>
          <w:sz w:val="20"/>
        </w:rPr>
        <w:t/>
      </w:r>
    </w:p>
    <w:p>
      <w:pPr>
        <w:pStyle w:val="ab"/>
      </w:pPr>
      <w:r>
        <w:t>发言人1 问：储能需求空间是否像大家想象的那么大？</w:t>
      </w:r>
    </w:p>
    <w:p>
      <w:r>
        <w:rPr>
          <w:rFonts w:ascii="等线(中文正文)" w:hAnsi="等线(中文正文)" w:cs="等线(中文正文)" w:eastAsia="等线(中文正文)"/>
          <w:b w:val="false"/>
          <w:i w:val="false"/>
          <w:sz w:val="20"/>
        </w:rPr>
        <w:t>发言人1 答：实际上，储能需求空间并非想象中那么大。如果以波峰波谷调节为出发点，目前储能电池配置比例平均达到3小时左右，并且一天循环两次，按照当前增速计算，储能电池的需求峰值可能在三四年或四五年后就趋于稳定，整体增速会因为技术进步和成本降低而放缓。</w:t>
      </w:r>
    </w:p>
    <w:p>
      <w:r>
        <w:rPr>
          <w:rFonts w:ascii="等线(中文正文)" w:hAnsi="等线(中文正文)" w:cs="等线(中文正文)" w:eastAsia="等线(中文正文)"/>
          <w:b w:val="false"/>
          <w:i w:val="false"/>
          <w:sz w:val="20"/>
        </w:rPr>
        <w:t/>
      </w:r>
    </w:p>
    <w:p>
      <w:pPr>
        <w:pStyle w:val="ab"/>
      </w:pPr>
      <w:r>
        <w:t>发言人1 问：储能行业的增长是否会面临增速放缓的问题？</w:t>
      </w:r>
    </w:p>
    <w:p>
      <w:r>
        <w:rPr>
          <w:rFonts w:ascii="等线(中文正文)" w:hAnsi="等线(中文正文)" w:cs="等线(中文正文)" w:eastAsia="等线(中文正文)"/>
          <w:b w:val="false"/>
          <w:i w:val="false"/>
          <w:sz w:val="20"/>
        </w:rPr>
        <w:t>发言人1 答：是的，储能行业增速放缓是一个问题，这与光伏行业过去遇到的情况类似。由于储能建设项目的推进，增速可能在今年明显下降，但随着价格下降和技术进步，储能会在更多地方释放出需求，因此对未来持相对乐观态度。</w:t>
      </w:r>
    </w:p>
    <w:p>
      <w:r>
        <w:rPr>
          <w:rFonts w:ascii="等线(中文正文)" w:hAnsi="等线(中文正文)" w:cs="等线(中文正文)" w:eastAsia="等线(中文正文)"/>
          <w:b w:val="false"/>
          <w:i w:val="false"/>
          <w:sz w:val="20"/>
        </w:rPr>
        <w:t/>
      </w:r>
    </w:p>
    <w:p>
      <w:pPr>
        <w:pStyle w:val="ab"/>
      </w:pPr>
      <w:r>
        <w:t>发言人1 问：储能行业中有哪些值得关注的投资线索？</w:t>
      </w:r>
    </w:p>
    <w:p>
      <w:r>
        <w:rPr>
          <w:rFonts w:ascii="等线(中文正文)" w:hAnsi="等线(中文正文)" w:cs="等线(中文正文)" w:eastAsia="等线(中文正文)"/>
          <w:b w:val="false"/>
          <w:i w:val="false"/>
          <w:sz w:val="20"/>
        </w:rPr>
        <w:t>发言人1 答：储能行业中的投资线索主要集中在瓶颈环节或紧缺环节，这些环节往往具有较大的价格弹性。例如，随着储能广泛应用和成本回落，它可以更广泛地进入不同领域，如AIDC和燃气轮机等，并且在今年尤其关注那些受制于瓶颈环节或产能扩张较慢的子行业。</w:t>
      </w:r>
    </w:p>
    <w:p>
      <w:r>
        <w:rPr>
          <w:rFonts w:ascii="等线(中文正文)" w:hAnsi="等线(中文正文)" w:cs="等线(中文正文)" w:eastAsia="等线(中文正文)"/>
          <w:b w:val="false"/>
          <w:i w:val="false"/>
          <w:sz w:val="20"/>
        </w:rPr>
        <w:t/>
      </w:r>
    </w:p>
    <w:p>
      <w:pPr>
        <w:pStyle w:val="ab"/>
      </w:pPr>
      <w:r>
        <w:t>发言人1 问：储能领域中哪些环节或产品可能会出现价格弹性？</w:t>
      </w:r>
    </w:p>
    <w:p>
      <w:r>
        <w:rPr>
          <w:rFonts w:ascii="等线(中文正文)" w:hAnsi="等线(中文正文)" w:cs="等线(中文正文)" w:eastAsia="等线(中文正文)"/>
          <w:b w:val="false"/>
          <w:i w:val="false"/>
          <w:sz w:val="20"/>
        </w:rPr>
        <w:t>发言人1 答：储能领域中，如VC、六氟磷酸锂等产品可能会因需求增长和供给短缺而出现价格弹性波动。尤其是在政策驱动下的短期需求爆发，以及上游原材料供应紧张时，这些环节的价格波动会更为显著。</w:t>
      </w:r>
    </w:p>
    <w:p>
      <w:r>
        <w:rPr>
          <w:rFonts w:ascii="等线(中文正文)" w:hAnsi="等线(中文正文)" w:cs="等线(中文正文)" w:eastAsia="等线(中文正文)"/>
          <w:b w:val="false"/>
          <w:i w:val="false"/>
          <w:sz w:val="20"/>
        </w:rPr>
        <w:t/>
      </w:r>
    </w:p>
    <w:p>
      <w:pPr>
        <w:pStyle w:val="ab"/>
      </w:pPr>
      <w:r>
        <w:t>发言人1 问：在储能相关材料中有哪些值得关注的环节或材料？</w:t>
      </w:r>
    </w:p>
    <w:p>
      <w:r>
        <w:rPr>
          <w:rFonts w:ascii="等线(中文正文)" w:hAnsi="等线(中文正文)" w:cs="等线(中文正文)" w:eastAsia="等线(中文正文)"/>
          <w:b w:val="false"/>
          <w:i w:val="false"/>
          <w:sz w:val="20"/>
        </w:rPr>
        <w:t>发言人1 答：在储能材料中，电解液链相关公司是值得关注的焦点，尤其是六氟磷酸锂的价格波动剧烈，从年初的低位到一季度的大幅下跌再到二季度的回升，这种供需关系的变化以及行业内集中度高的特点，使得该环节容易出现价格弹性波动。</w:t>
      </w:r>
    </w:p>
    <w:p>
      <w:r>
        <w:rPr>
          <w:rFonts w:ascii="等线(中文正文)" w:hAnsi="等线(中文正文)" w:cs="等线(中文正文)" w:eastAsia="等线(中文正文)"/>
          <w:b w:val="false"/>
          <w:i w:val="false"/>
          <w:sz w:val="20"/>
        </w:rPr>
        <w:t/>
      </w:r>
    </w:p>
    <w:p>
      <w:pPr>
        <w:pStyle w:val="ab"/>
      </w:pPr>
      <w:r>
        <w:t>发言人1 问：储能产业链中是否存在价格波动明显的环节？</w:t>
      </w:r>
    </w:p>
    <w:p>
      <w:r>
        <w:rPr>
          <w:rFonts w:ascii="等线(中文正文)" w:hAnsi="等线(中文正文)" w:cs="等线(中文正文)" w:eastAsia="等线(中文正文)"/>
          <w:b w:val="false"/>
          <w:i w:val="false"/>
          <w:sz w:val="20"/>
        </w:rPr>
        <w:t>发言人1 答：是的，储能产业链中存在一些价格波动明显的环节，比如电解液添加剂、VC添加剂等，这些环节由于行业集中度较高，供需关系变化会导致价格迅速上涨或下跌。此外，受制于生产技术和供应链限制的产品，也会因为供需紧张而出现价格波动。</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2026-06-28T16:27:50Z</dcterms:created>
  <dc:creator>Apache POI</dc:creator>
</cp:coreProperties>
</file>