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神火股份 260623_导读</w:t>
      </w:r>
    </w:p>
    <w:p>
      <w:pPr>
        <w:pStyle w:val="a0"/>
        <w:jc w:val="center"/>
      </w:pPr>
      <w:r>
        <w:t>2026年06月28日 22:32</w:t>
      </w:r>
    </w:p>
    <w:p>
      <w:pPr>
        <w:pStyle w:val="a7"/>
      </w:pPr>
      <w:r>
        <w:t>关键词</w:t>
      </w:r>
    </w:p>
    <w:p>
      <w:r>
        <w:rPr>
          <w:rFonts w:ascii="等线(中文正文)" w:hAnsi="等线(中文正文)" w:cs="等线(中文正文)" w:eastAsia="等线(中文正文)"/>
          <w:b w:val="false"/>
          <w:i w:val="false"/>
          <w:sz w:val="20"/>
        </w:rPr>
        <w:t xml:space="preserve">股权激励 李总 国资审批 中层副职 净利润 分红 解锁目标 对标企业 限售期 二季度 新疆 铝加工 德州铝箔 钠离子电池 西部地区 高新预测 减值处理 地方税务局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公司推出新股权激励方案，惠及约468名员工，涵盖中层及以上管理人员、高级技术骨干及竞赛获奖人员。方案设定2026-2028年净利润年均增长率不低于25%，对标企业75分位或行业平均水平为业绩考核目标。为简化国资审批，已回购部分股票，激励总额不超过薪酬40%。此外，讨论了产能规划、电价变动、海外布局等发展战略，解答了市场情况、税收优惠及员工福利等疑问。</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股权激励方案更新与核心员工绑定</w:t>
      </w:r>
    </w:p>
    <w:p>
      <w:r>
        <w:rPr>
          <w:rFonts w:ascii="等线(中文正文)" w:hAnsi="等线(中文正文)" w:cs="等线(中文正文)" w:eastAsia="等线(中文正文)"/>
          <w:b w:val="false"/>
          <w:i w:val="false"/>
          <w:sz w:val="20"/>
        </w:rPr>
        <w:t>会议介绍了股权激励方案的更新，包括二期计划、减少国资审批难度的回购措施及薪酬激励总额限制。方案扩大了激励范围至468人，分为管理人员、高级技术人员和职业技能竞赛获奖者三个通道。业绩考核目标涵盖盈利能力、收益质量和股东回报三个方面，期限保持433不变。</w:t>
      </w:r>
    </w:p>
    <w:p>
      <w:r>
        <w:rPr>
          <w:rFonts w:ascii="等线(中文正文)" w:hAnsi="等线(中文正文)" w:cs="等线(中文正文)" w:eastAsia="等线(中文正文)"/>
          <w:b w:val="false"/>
          <w:i w:val="false"/>
          <w:sz w:val="20"/>
        </w:rPr>
        <w:t/>
      </w:r>
    </w:p>
    <w:p>
      <w:pPr>
        <w:pStyle w:val="ab"/>
        <w:numPr>
          <w:numId w:val="2"/>
        </w:numPr>
      </w:pPr>
      <w:r>
        <w:t>03:13 公司内部指标与国资审批流程解析</w:t>
      </w:r>
    </w:p>
    <w:p>
      <w:r>
        <w:rPr>
          <w:rFonts w:ascii="等线(中文正文)" w:hAnsi="等线(中文正文)" w:cs="等线(中文正文)" w:eastAsia="等线(中文正文)"/>
          <w:b w:val="false"/>
          <w:i w:val="false"/>
          <w:sz w:val="20"/>
        </w:rPr>
        <w:t>对话围绕公司内部设定的财务指标展开，包括净利润增长率、净资产收益率及分红比例等，强调需达到对标企业75分位或行业平均水平。同时，提及国资审批流程的不确定性及其对项目推进的影响，指出政府会议审议节奏可能影响审批速度。此外，讨论了覆盖更广员工群体的必要性，特别是技术骨干的纳入，以符合监管导向并促进审批工作。</w:t>
      </w:r>
    </w:p>
    <w:p>
      <w:r>
        <w:rPr>
          <w:rFonts w:ascii="等线(中文正文)" w:hAnsi="等线(中文正文)" w:cs="等线(中文正文)" w:eastAsia="等线(中文正文)"/>
          <w:b w:val="false"/>
          <w:i w:val="false"/>
          <w:sz w:val="20"/>
        </w:rPr>
        <w:t/>
      </w:r>
    </w:p>
    <w:p>
      <w:pPr>
        <w:pStyle w:val="ab"/>
        <w:numPr>
          <w:numId w:val="3"/>
        </w:numPr>
      </w:pPr>
      <w:r>
        <w:t>07:58 公司三年净利润目标与行业对标分析</w:t>
      </w:r>
    </w:p>
    <w:p>
      <w:r>
        <w:rPr>
          <w:rFonts w:ascii="等线(中文正文)" w:hAnsi="等线(中文正文)" w:cs="等线(中文正文)" w:eastAsia="等线(中文正文)"/>
          <w:b w:val="false"/>
          <w:i w:val="false"/>
          <w:sz w:val="20"/>
        </w:rPr>
        <w:t>讨论了公司未来三年的净利润目标设定，强调目标需不低于前三年均值，并考虑行业75分位数，整体方案较为稳健。提及2026年利润目标不低于前三年均值，2027-2028年连续达标，同时关注分红比例不低于30%，净资产收益率与分红的关系，以及限售期与解锁机制。</w:t>
      </w:r>
    </w:p>
    <w:p>
      <w:r>
        <w:rPr>
          <w:rFonts w:ascii="等线(中文正文)" w:hAnsi="等线(中文正文)" w:cs="等线(中文正文)" w:eastAsia="等线(中文正文)"/>
          <w:b w:val="false"/>
          <w:i w:val="false"/>
          <w:sz w:val="20"/>
        </w:rPr>
        <w:t/>
      </w:r>
    </w:p>
    <w:p>
      <w:pPr>
        <w:pStyle w:val="ab"/>
        <w:numPr>
          <w:numId w:val="4"/>
        </w:numPr>
      </w:pPr>
      <w:r>
        <w:t>13:27 行业产能与海外市场投资探讨</w:t>
      </w:r>
    </w:p>
    <w:p>
      <w:r>
        <w:rPr>
          <w:rFonts w:ascii="等线(中文正文)" w:hAnsi="等线(中文正文)" w:cs="等线(中文正文)" w:eastAsia="等线(中文正文)"/>
          <w:b w:val="false"/>
          <w:i w:val="false"/>
          <w:sz w:val="20"/>
        </w:rPr>
        <w:t>对话围绕国内某行业产能提升的局限性展开，指出受技术与资源约束，产能增加空间有限。提及造型设计与再生铝使用对产能微小影响，强调市场公开信息显示海外投资尚处于论证阶段，不确定性大，且需考虑电网稳定性等技术挑战，海外投资效益及落地情况存疑。</w:t>
      </w:r>
    </w:p>
    <w:p>
      <w:r>
        <w:rPr>
          <w:rFonts w:ascii="等线(中文正文)" w:hAnsi="等线(中文正文)" w:cs="等线(中文正文)" w:eastAsia="等线(中文正文)"/>
          <w:b w:val="false"/>
          <w:i w:val="false"/>
          <w:sz w:val="20"/>
        </w:rPr>
        <w:t/>
      </w:r>
    </w:p>
    <w:p>
      <w:pPr>
        <w:pStyle w:val="ab"/>
        <w:numPr>
          <w:numId w:val="5"/>
        </w:numPr>
      </w:pPr>
      <w:r>
        <w:t>17:03 集团项目论证与电价、煤炭、铝加工市场分析</w:t>
      </w:r>
    </w:p>
    <w:p>
      <w:r>
        <w:rPr>
          <w:rFonts w:ascii="等线(中文正文)" w:hAnsi="等线(中文正文)" w:cs="等线(中文正文)" w:eastAsia="等线(中文正文)"/>
          <w:b w:val="false"/>
          <w:i w:val="false"/>
          <w:sz w:val="20"/>
        </w:rPr>
        <w:t>讨论了集团项目论证阶段的不确定性，分析了云南和新疆的电价与煤炭价格波动，以及美亚煤炭价格的显著上涨。提及铝加工行业，特别是德州铝箔的满产状态和钠离子电池三期项目的规划。强调订单是生产的核心，目前处于客户认证阶段。</w:t>
      </w:r>
    </w:p>
    <w:p>
      <w:r>
        <w:rPr>
          <w:rFonts w:ascii="等线(中文正文)" w:hAnsi="等线(中文正文)" w:cs="等线(中文正文)" w:eastAsia="等线(中文正文)"/>
          <w:b w:val="false"/>
          <w:i w:val="false"/>
          <w:sz w:val="20"/>
        </w:rPr>
        <w:t/>
      </w:r>
    </w:p>
    <w:p>
      <w:pPr>
        <w:pStyle w:val="ab"/>
        <w:numPr>
          <w:numId w:val="6"/>
        </w:numPr>
      </w:pPr>
      <w:r>
        <w:t>21:52 市场行情分析与企业税务政策讨论</w:t>
      </w:r>
    </w:p>
    <w:p>
      <w:r>
        <w:rPr>
          <w:rFonts w:ascii="等线(中文正文)" w:hAnsi="等线(中文正文)" w:cs="等线(中文正文)" w:eastAsia="等线(中文正文)"/>
          <w:b w:val="false"/>
          <w:i w:val="false"/>
          <w:sz w:val="20"/>
        </w:rPr>
        <w:t>对话围绕近期市场行情波动、企业税务政策调整及未来展望展开，讨论了股价变动、出口情况、煤炭业务税收及潜在减值处理等问题，强调了国家政策对地方税务局的影响，以及企业对市场变化的敏感度。</w:t>
      </w:r>
    </w:p>
    <w:p>
      <w:r>
        <w:rPr>
          <w:rFonts w:ascii="等线(中文正文)" w:hAnsi="等线(中文正文)" w:cs="等线(中文正文)" w:eastAsia="等线(中文正文)"/>
          <w:b w:val="false"/>
          <w:i w:val="false"/>
          <w:sz w:val="20"/>
        </w:rPr>
        <w:t/>
      </w:r>
    </w:p>
    <w:p>
      <w:pPr>
        <w:pStyle w:val="a7"/>
      </w:pPr>
      <w:r>
        <w:t>发言总结</w:t>
      </w:r>
    </w:p>
    <w:p>
      <w:pPr>
        <w:pStyle w:val="ab"/>
        <w:numPr>
          <w:numId w:val="7"/>
        </w:numPr>
      </w:pPr>
      <w:r>
        <w:t>发言人1</w:t>
      </w:r>
    </w:p>
    <w:p>
      <w:r>
        <w:rPr>
          <w:rFonts w:ascii="等线(中文正文)" w:hAnsi="等线(中文正文)" w:cs="等线(中文正文)" w:eastAsia="等线(中文正文)"/>
          <w:b w:val="false"/>
          <w:i w:val="false"/>
          <w:sz w:val="20"/>
        </w:rPr>
        <w:t>主持的会议中，重点讨论了公司最新的股权激励方案，旨在绑定核心客户和员工，覆盖468人，包括中层副职以上管理人员、高级技术骨干及获奖技术人员。方案严格控制激励总金额不超过薪酬总额的40%，通过锁定价格和时间点确保公平性。同时，他提到了公司业绩考核目标，包括三年内净利润增长率不低于25%，对标行业平均水平，以及对分红、净资产收益率等财务指标的预期。此外，还涉及市场布局、产品产能及海外市场策略，并回答了投资者关于税收优惠、定价策略和公司未来展望的问题。</w:t>
      </w:r>
    </w:p>
    <w:p>
      <w:r>
        <w:rPr>
          <w:rFonts w:ascii="等线(中文正文)" w:hAnsi="等线(中文正文)" w:cs="等线(中文正文)" w:eastAsia="等线(中文正文)"/>
          <w:b w:val="false"/>
          <w:i w:val="false"/>
          <w:sz w:val="20"/>
        </w:rPr>
        <w:t/>
      </w:r>
    </w:p>
    <w:p>
      <w:pPr>
        <w:pStyle w:val="a7"/>
      </w:pPr>
      <w:r>
        <w:t>要点回顾</w:t>
      </w:r>
    </w:p>
    <w:p>
      <w:pPr>
        <w:pStyle w:val="ab"/>
      </w:pPr>
      <w:r>
        <w:t>请李总简单介绍一下本次股权激励方案的更新内容。</w:t>
      </w:r>
    </w:p>
    <w:p>
      <w:r>
        <w:rPr>
          <w:rFonts w:ascii="等线(中文正文)" w:hAnsi="等线(中文正文)" w:cs="等线(中文正文)" w:eastAsia="等线(中文正文)"/>
          <w:b w:val="false"/>
          <w:i w:val="false"/>
          <w:sz w:val="20"/>
        </w:rPr>
        <w:t>发言人1：本次股权激励方案是继2021年后进行的再次激励，主要目的是绑定核心客户员工。方案中，我们对前期的股权激励计划进行了调整，考虑了国资审批难度，去年回购了1540万股，并以此为基础制定了新的激励方案。同时，方案受到国资监管规定的限制，即薪酬激励总金额不能超过薪酬总水平的40%，并且设立了双向锁定机制，综合收入与股价表现来确定总的解锁数量，确保不超过总股本的1%。</w:t>
      </w:r>
    </w:p>
    <w:p>
      <w:r>
        <w:rPr>
          <w:rFonts w:ascii="等线(中文正文)" w:hAnsi="等线(中文正文)" w:cs="等线(中文正文)" w:eastAsia="等线(中文正文)"/>
          <w:b w:val="false"/>
          <w:i w:val="false"/>
          <w:sz w:val="20"/>
        </w:rPr>
        <w:t/>
      </w:r>
    </w:p>
    <w:p>
      <w:pPr>
        <w:pStyle w:val="ab"/>
      </w:pPr>
      <w:r>
        <w:t>本次股权激励方案的具体覆盖范围是什么？</w:t>
      </w:r>
    </w:p>
    <w:p>
      <w:r>
        <w:rPr>
          <w:rFonts w:ascii="等线(中文正文)" w:hAnsi="等线(中文正文)" w:cs="等线(中文正文)" w:eastAsia="等线(中文正文)"/>
          <w:b w:val="false"/>
          <w:i w:val="false"/>
          <w:sz w:val="20"/>
        </w:rPr>
        <w:t>发言人1：本次方案将覆盖范围扩大至468人，分为三个通道执行。第一通道是公司中层副职以上的管理人员；第二通道为高级技术支撑人员，包括核心骨干如高级技术主管等；第三通道则针对在国家或行业内职业技能竞赛中获得一定名次的技术人员。</w:t>
      </w:r>
    </w:p>
    <w:p>
      <w:r>
        <w:rPr>
          <w:rFonts w:ascii="等线(中文正文)" w:hAnsi="等线(中文正文)" w:cs="等线(中文正文)" w:eastAsia="等线(中文正文)"/>
          <w:b w:val="false"/>
          <w:i w:val="false"/>
          <w:sz w:val="20"/>
        </w:rPr>
        <w:t/>
      </w:r>
    </w:p>
    <w:p>
      <w:pPr>
        <w:pStyle w:val="ab"/>
      </w:pPr>
      <w:r>
        <w:t>业绩考核目标是如何设定的？</w:t>
      </w:r>
    </w:p>
    <w:p>
      <w:r>
        <w:rPr>
          <w:rFonts w:ascii="等线(中文正文)" w:hAnsi="等线(中文正文)" w:cs="等线(中文正文)" w:eastAsia="等线(中文正文)"/>
          <w:b w:val="false"/>
          <w:i w:val="false"/>
          <w:sz w:val="20"/>
        </w:rPr>
        <w:t>发言人1：业绩考核目标从盈利能力、收益质量、股东回报三个方面进行衡量。具体来说，规模净利润在2026年、2027年以及2028年的三年内应分别保持不低于25%、1.6倍平均增长，且2026至2028年的平均数不低于34%。此外，还需满足对标企业75分位或同行业平均水平的市场化要求，同时要求净资产收益率达到17.80%、7.98%，以及分红比例不低于30%。</w:t>
      </w:r>
    </w:p>
    <w:p>
      <w:r>
        <w:rPr>
          <w:rFonts w:ascii="等线(中文正文)" w:hAnsi="等线(中文正文)" w:cs="等线(中文正文)" w:eastAsia="等线(中文正文)"/>
          <w:b w:val="false"/>
          <w:i w:val="false"/>
          <w:sz w:val="20"/>
        </w:rPr>
        <w:t/>
      </w:r>
    </w:p>
    <w:p>
      <w:pPr>
        <w:pStyle w:val="ab"/>
      </w:pPr>
      <w:r>
        <w:t>关于股权激励方案的价格锁定和审批流程是怎样的？</w:t>
      </w:r>
    </w:p>
    <w:p>
      <w:r>
        <w:rPr>
          <w:rFonts w:ascii="等线(中文正文)" w:hAnsi="等线(中文正文)" w:cs="等线(中文正文)" w:eastAsia="等线(中文正文)"/>
          <w:b w:val="false"/>
          <w:i w:val="false"/>
          <w:sz w:val="20"/>
        </w:rPr>
        <w:t>发言人1：董事会已通过昨天的决议，锁定价格为3.33元。但实际实施前，还需取得国资委的批文，根据国资评估情况确定最终价格。价格锁定依据是董事会公告前50个交易日均价的50%以及前20日、60日、120日均价的50%选取较高者，目前预估价格约为1.3元。整个过程会受到政府审批效率的影响，历史经验表明批复时间一般在1到2个月内。</w:t>
      </w:r>
    </w:p>
    <w:p>
      <w:r>
        <w:rPr>
          <w:rFonts w:ascii="等线(中文正文)" w:hAnsi="等线(中文正文)" w:cs="等线(中文正文)" w:eastAsia="等线(中文正文)"/>
          <w:b w:val="false"/>
          <w:i w:val="false"/>
          <w:sz w:val="20"/>
        </w:rPr>
        <w:t/>
      </w:r>
    </w:p>
    <w:p>
      <w:pPr>
        <w:pStyle w:val="ab"/>
      </w:pPr>
      <w:r>
        <w:t>关于分红问题，我们过去几年的定额额度是多少？未来在利润提升规模上会按照什么比例或方式进行调整？</w:t>
      </w:r>
    </w:p>
    <w:p>
      <w:r>
        <w:rPr>
          <w:rFonts w:ascii="等线(中文正文)" w:hAnsi="等线(中文正文)" w:cs="等线(中文正文)" w:eastAsia="等线(中文正文)"/>
          <w:b w:val="false"/>
          <w:i w:val="false"/>
          <w:sz w:val="20"/>
        </w:rPr>
        <w:t>发言人1：我们过去24天的定额分红额度是一定的，未来在利润提升时，会按照不低于30%的比例进行分配，并且会参考现金增加比例和净资产收益率来确定。如果分红后，净资产数值会降低，所以这几个指标之间存在内在关系。</w:t>
      </w:r>
    </w:p>
    <w:p>
      <w:r>
        <w:rPr>
          <w:rFonts w:ascii="等线(中文正文)" w:hAnsi="等线(中文正文)" w:cs="等线(中文正文)" w:eastAsia="等线(中文正文)"/>
          <w:b w:val="false"/>
          <w:i w:val="false"/>
          <w:sz w:val="20"/>
        </w:rPr>
        <w:t/>
      </w:r>
    </w:p>
    <w:p>
      <w:pPr>
        <w:pStyle w:val="ab"/>
      </w:pPr>
      <w:r>
        <w:t>2026年的第一期利润数有什么特殊要求吗？对于未来几年的利润目标规划，是否考虑了前三年的平均数作为基准？</w:t>
      </w:r>
    </w:p>
    <w:p>
      <w:r>
        <w:rPr>
          <w:rFonts w:ascii="等线(中文正文)" w:hAnsi="等线(中文正文)" w:cs="等线(中文正文)" w:eastAsia="等线(中文正文)"/>
          <w:b w:val="false"/>
          <w:i w:val="false"/>
          <w:sz w:val="20"/>
        </w:rPr>
        <w:t>发言人1：对于2026年第一期实现的利润数，文件规定不能低于前三年（2023年至2025年）的均值，即大约47点多。另外，这三年累计利润需要达到160亿以上才能实现目标，因此整体压力较大，还需结合市场情况及行业75分位的数据进行考量。是的，第一点提到的2026年的利润目标确实考虑了前三年的平均数，并且在做方案时需要考虑到这个因素。相比前三年的均值，2026年的目标略高一些，而后续几年则相对稳健。同时，还需参照对标企业的75分位情况来制定方案。</w:t>
      </w:r>
    </w:p>
    <w:p>
      <w:r>
        <w:rPr>
          <w:rFonts w:ascii="等线(中文正文)" w:hAnsi="等线(中文正文)" w:cs="等线(中文正文)" w:eastAsia="等线(中文正文)"/>
          <w:b w:val="false"/>
          <w:i w:val="false"/>
          <w:sz w:val="20"/>
        </w:rPr>
        <w:t/>
      </w:r>
    </w:p>
    <w:p>
      <w:pPr>
        <w:pStyle w:val="ab"/>
      </w:pPr>
      <w:r>
        <w:t>关于锁定期限和销售期的问题是如何安排的？</w:t>
      </w:r>
    </w:p>
    <w:p>
      <w:r>
        <w:rPr>
          <w:rFonts w:ascii="等线(中文正文)" w:hAnsi="等线(中文正文)" w:cs="等线(中文正文)" w:eastAsia="等线(中文正文)"/>
          <w:b w:val="false"/>
          <w:i w:val="false"/>
          <w:sz w:val="20"/>
        </w:rPr>
        <w:t>发言人1：这次线路协商是针对2020年时期的，锁定期限是两年，2028年开始解禁，第一期在2026年解锁，到2023年全部解锁。如果按照一年的锁定期计算，数据会更小，所以对于收入维持会有一定影响。</w:t>
      </w:r>
    </w:p>
    <w:p>
      <w:r>
        <w:rPr>
          <w:rFonts w:ascii="等线(中文正文)" w:hAnsi="等线(中文正文)" w:cs="等线(中文正文)" w:eastAsia="等线(中文正文)"/>
          <w:b w:val="false"/>
          <w:i w:val="false"/>
          <w:sz w:val="20"/>
        </w:rPr>
        <w:t/>
      </w:r>
    </w:p>
    <w:p>
      <w:pPr>
        <w:pStyle w:val="ab"/>
      </w:pPr>
      <w:r>
        <w:t>员工和高管对于股权激励方面的信息是否会有推动希望？</w:t>
      </w:r>
    </w:p>
    <w:p>
      <w:r>
        <w:rPr>
          <w:rFonts w:ascii="等线(中文正文)" w:hAnsi="等线(中文正文)" w:cs="等线(中文正文)" w:eastAsia="等线(中文正文)"/>
          <w:b w:val="false"/>
          <w:i w:val="false"/>
          <w:sz w:val="20"/>
        </w:rPr>
        <w:t>发言人1：目前还没有考虑股权激励方面的事项，所以暂时没有推动计划。</w:t>
      </w:r>
    </w:p>
    <w:p>
      <w:r>
        <w:rPr>
          <w:rFonts w:ascii="等线(中文正文)" w:hAnsi="等线(中文正文)" w:cs="等线(中文正文)" w:eastAsia="等线(中文正文)"/>
          <w:b w:val="false"/>
          <w:i w:val="false"/>
          <w:sz w:val="20"/>
        </w:rPr>
        <w:t/>
      </w:r>
    </w:p>
    <w:p>
      <w:pPr>
        <w:pStyle w:val="ab"/>
      </w:pPr>
      <w:r>
        <w:t>国内生产线是否有可能超出目前状况，达到更高产能？</w:t>
      </w:r>
    </w:p>
    <w:p>
      <w:r>
        <w:rPr>
          <w:rFonts w:ascii="等线(中文正文)" w:hAnsi="等线(中文正文)" w:cs="等线(中文正文)" w:eastAsia="等线(中文正文)"/>
          <w:b w:val="false"/>
          <w:i w:val="false"/>
          <w:sz w:val="20"/>
        </w:rPr>
        <w:t>发言人1：根据现有技术和市场信息，从长期来看，生产线最多可能超出当前状况一些，但提升空间有限，主要是由于产品造型设计、原材料使用（如再生铝）等因素带来的潜在可能性。</w:t>
      </w:r>
    </w:p>
    <w:p>
      <w:r>
        <w:rPr>
          <w:rFonts w:ascii="等线(中文正文)" w:hAnsi="等线(中文正文)" w:cs="等线(中文正文)" w:eastAsia="等线(中文正文)"/>
          <w:b w:val="false"/>
          <w:i w:val="false"/>
          <w:sz w:val="20"/>
        </w:rPr>
        <w:t/>
      </w:r>
    </w:p>
    <w:p>
      <w:pPr>
        <w:pStyle w:val="ab"/>
      </w:pPr>
      <w:r>
        <w:t>对于海外投资布局的看法如何？</w:t>
      </w:r>
    </w:p>
    <w:p>
      <w:r>
        <w:rPr>
          <w:rFonts w:ascii="等线(中文正文)" w:hAnsi="等线(中文正文)" w:cs="等线(中文正文)" w:eastAsia="等线(中文正文)"/>
          <w:b w:val="false"/>
          <w:i w:val="false"/>
          <w:sz w:val="20"/>
        </w:rPr>
        <w:t>发言人1：目前集团在海外布局方面的信息大多处于论证阶段，很多设想存在不确定性，包括投资国家、项目落地情况等都需要进一步观察和评估，尤其是电力生产和电网稳定问题对项目实施具有重要制约作用。</w:t>
      </w:r>
    </w:p>
    <w:p>
      <w:r>
        <w:rPr>
          <w:rFonts w:ascii="等线(中文正文)" w:hAnsi="等线(中文正文)" w:cs="等线(中文正文)" w:eastAsia="等线(中文正文)"/>
          <w:b w:val="false"/>
          <w:i w:val="false"/>
          <w:sz w:val="20"/>
        </w:rPr>
        <w:t/>
      </w:r>
    </w:p>
    <w:p>
      <w:pPr>
        <w:pStyle w:val="ab"/>
      </w:pPr>
      <w:r>
        <w:t>二季度云南的煤价预计会怎样？</w:t>
      </w:r>
    </w:p>
    <w:p>
      <w:r>
        <w:rPr>
          <w:rFonts w:ascii="等线(中文正文)" w:hAnsi="等线(中文正文)" w:cs="等线(中文正文)" w:eastAsia="等线(中文正文)"/>
          <w:b w:val="false"/>
          <w:i w:val="false"/>
          <w:sz w:val="20"/>
        </w:rPr>
        <w:t>发言人1：二季度云南的煤价预计可能比一度降低的幅度较小，因为一度已经比去年正常水平低了较多，全年预计能降到1到2分。现在二季度基本没有太多降价空间。</w:t>
      </w:r>
    </w:p>
    <w:p>
      <w:r>
        <w:rPr>
          <w:rFonts w:ascii="等线(中文正文)" w:hAnsi="等线(中文正文)" w:cs="等线(中文正文)" w:eastAsia="等线(中文正文)"/>
          <w:b w:val="false"/>
          <w:i w:val="false"/>
          <w:sz w:val="20"/>
        </w:rPr>
        <w:t/>
      </w:r>
    </w:p>
    <w:p>
      <w:pPr>
        <w:pStyle w:val="ab"/>
      </w:pPr>
      <w:r>
        <w:t>新疆地区的煤价市场情况如何？</w:t>
      </w:r>
    </w:p>
    <w:p>
      <w:r>
        <w:rPr>
          <w:rFonts w:ascii="等线(中文正文)" w:hAnsi="等线(中文正文)" w:cs="等线(中文正文)" w:eastAsia="等线(中文正文)"/>
          <w:b w:val="false"/>
          <w:i w:val="false"/>
          <w:sz w:val="20"/>
        </w:rPr>
        <w:t>发言人1：新疆这块市场整体相对稳定，与内地市场的波动有所不同，它相对独立。由于秦皇岛这边煤炭价格上涨了150到160块钱，但新疆目前的价格基本稳定，变化不大。</w:t>
      </w:r>
    </w:p>
    <w:p>
      <w:r>
        <w:rPr>
          <w:rFonts w:ascii="等线(中文正文)" w:hAnsi="等线(中文正文)" w:cs="等线(中文正文)" w:eastAsia="等线(中文正文)"/>
          <w:b w:val="false"/>
          <w:i w:val="false"/>
          <w:sz w:val="20"/>
        </w:rPr>
        <w:t/>
      </w:r>
    </w:p>
    <w:p>
      <w:pPr>
        <w:pStyle w:val="ab"/>
      </w:pPr>
      <w:r>
        <w:t>美亚队煤炭价格涨幅情况是怎样的？</w:t>
      </w:r>
    </w:p>
    <w:p>
      <w:r>
        <w:rPr>
          <w:rFonts w:ascii="等线(中文正文)" w:hAnsi="等线(中文正文)" w:cs="等线(中文正文)" w:eastAsia="等线(中文正文)"/>
          <w:b w:val="false"/>
          <w:i w:val="false"/>
          <w:sz w:val="20"/>
        </w:rPr>
        <w:t>发言人1：从522山西事故以后，煤炭价格涨幅较大，经常上涨120、150元，到6月份可能才能明显体现。目前无烟煤价格大概在1300元左右，销售价格在1500到1600元左右，平均下来每吨赚100块钱左右。</w:t>
      </w:r>
    </w:p>
    <w:p>
      <w:r>
        <w:rPr>
          <w:rFonts w:ascii="等线(中文正文)" w:hAnsi="等线(中文正文)" w:cs="等线(中文正文)" w:eastAsia="等线(中文正文)"/>
          <w:b w:val="false"/>
          <w:i w:val="false"/>
          <w:sz w:val="20"/>
        </w:rPr>
        <w:t/>
      </w:r>
    </w:p>
    <w:p>
      <w:pPr>
        <w:pStyle w:val="ab"/>
      </w:pPr>
      <w:r>
        <w:t>铝加工方面，尤其是德州铝箔项目的进展如何？</w:t>
      </w:r>
    </w:p>
    <w:p>
      <w:r>
        <w:rPr>
          <w:rFonts w:ascii="等线(中文正文)" w:hAnsi="等线(中文正文)" w:cs="等线(中文正文)" w:eastAsia="等线(中文正文)"/>
          <w:b w:val="false"/>
          <w:i w:val="false"/>
          <w:sz w:val="20"/>
        </w:rPr>
        <w:t>发言人1：德州铝箔项目目前满产状态，正在规划三期项目，主要做钠离子电池，预计增加5万的产能，目前正在做前期工作和可研准备，正常情况下一年内可以完成。</w:t>
      </w:r>
    </w:p>
    <w:p>
      <w:r>
        <w:rPr>
          <w:rFonts w:ascii="等线(中文正文)" w:hAnsi="等线(中文正文)" w:cs="等线(中文正文)" w:eastAsia="等线(中文正文)"/>
          <w:b w:val="false"/>
          <w:i w:val="false"/>
          <w:sz w:val="20"/>
        </w:rPr>
        <w:t/>
      </w:r>
    </w:p>
    <w:p>
      <w:pPr>
        <w:pStyle w:val="ab"/>
      </w:pPr>
      <w:r>
        <w:t>钠离子电池生产的工艺设备和技术调整情况怎样？</w:t>
      </w:r>
    </w:p>
    <w:p>
      <w:r>
        <w:rPr>
          <w:rFonts w:ascii="等线(中文正文)" w:hAnsi="等线(中文正文)" w:cs="等线(中文正文)" w:eastAsia="等线(中文正文)"/>
          <w:b w:val="false"/>
          <w:i w:val="false"/>
          <w:sz w:val="20"/>
        </w:rPr>
        <w:t>发言人1：钠离子电池的工艺设备体系与原来差不多，只是对打印纸和平整度等指标要求更高，但这些都可以实现。根据订单情况会调整生产线和技术，目前已经有供货能力。</w:t>
      </w:r>
    </w:p>
    <w:p>
      <w:r>
        <w:rPr>
          <w:rFonts w:ascii="等线(中文正文)" w:hAnsi="等线(中文正文)" w:cs="等线(中文正文)" w:eastAsia="等线(中文正文)"/>
          <w:b w:val="false"/>
          <w:i w:val="false"/>
          <w:sz w:val="20"/>
        </w:rPr>
        <w:t/>
      </w:r>
    </w:p>
    <w:p>
      <w:pPr>
        <w:pStyle w:val="ab"/>
      </w:pPr>
      <w:r>
        <w:t>目前市场情绪和股价表现如何？</w:t>
      </w:r>
    </w:p>
    <w:p>
      <w:r>
        <w:rPr>
          <w:rFonts w:ascii="等线(中文正文)" w:hAnsi="等线(中文正文)" w:cs="等线(中文正文)" w:eastAsia="等线(中文正文)"/>
          <w:b w:val="false"/>
          <w:i w:val="false"/>
          <w:sz w:val="20"/>
        </w:rPr>
        <w:t>发言人1：最近市场情绪较为担忧，股价有所下跌，去库速度加快，出口情况也较好。从同比负4点增长到7点增长，股价下跌可能与出口数据改善和库存减少有关，目前价格在24000元左右震荡，波动空间不大。</w:t>
      </w:r>
    </w:p>
    <w:p>
      <w:r>
        <w:rPr>
          <w:rFonts w:ascii="等线(中文正文)" w:hAnsi="等线(中文正文)" w:cs="等线(中文正文)" w:eastAsia="等线(中文正文)"/>
          <w:b w:val="false"/>
          <w:i w:val="false"/>
          <w:sz w:val="20"/>
        </w:rPr>
        <w:t/>
      </w:r>
    </w:p>
    <w:p>
      <w:pPr>
        <w:pStyle w:val="ab"/>
      </w:pPr>
      <w:r>
        <w:t>税收政策对未来几年的影响是什么？</w:t>
      </w:r>
    </w:p>
    <w:p>
      <w:r>
        <w:rPr>
          <w:rFonts w:ascii="等线(中文正文)" w:hAnsi="等线(中文正文)" w:cs="等线(中文正文)" w:eastAsia="等线(中文正文)"/>
          <w:b w:val="false"/>
          <w:i w:val="false"/>
          <w:sz w:val="20"/>
        </w:rPr>
        <w:t>发言人1：新疆虽然属于高新产业且享受西部地区优惠政策，但在2023年已经按照正常税率申报，且考虑到未来几年的展望，可能会有一些税收减免或减值处理的情况，具体影响还需进一步评估。云南则因税收优惠至2030年结束，之后是否继续享受政策还需看政府后续政策安排。</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2026-06-28T16:23:15Z</dcterms:created>
  <dc:creator>Apache POI</dc:creator>
</cp:coreProperties>
</file>