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【高盛】脉动中国：5月内需走弱二季度GDP下修、陆家嘴论坛释放宽松货币与资本开放信号、官方定调修复居民资产负债表、A股AI硬件与出海产业盈利领跑7月底政治局会议成政策关键窗口_导读</w:t>
      </w:r>
    </w:p>
    <w:p>
      <w:pPr>
        <w:pStyle w:val="a0"/>
        <w:jc w:val="center"/>
      </w:pPr>
      <w:r>
        <w:t>2026年06月28日 10:35</w:t>
      </w:r>
    </w:p>
    <w:p>
      <w:pPr>
        <w:pStyle w:val="a7"/>
      </w:pPr>
      <w:r>
        <w:t>关键词</w:t>
      </w:r>
    </w:p>
    <w:p>
      <w:r>
        <w:rPr>
          <w:rFonts w:ascii="等线(中文正文)" w:hAnsi="等线(中文正文)" w:cs="等线(中文正文)" w:eastAsia="等线(中文正文)"/>
          <w:b w:val="false"/>
          <w:i w:val="false"/>
          <w:sz w:val="20"/>
        </w:rPr>
        <w:t xml:space="preserve">二季度 GDP 固定资产投资 房地产 货币政策 财政政策 新能源汽车 出口 人民币升值 直接融资 科创企业 中东局势 海峡堵塞 油价 工业增加值 贷款 产业结构 出口商 制造业 科技行业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本次讨论集中于中国经济的多个方面，包括宏观经济数据、行业表现及市场展望。五月经济数据显示，尽管出口和工业生产表现强劲，但消费低迷且房地产市场深度调整，内需增长未达预期。居民家庭资产负债表的修复成为焦点，政府正采取措施应对居民负债问题。AI被视为少数亮点，预示着金融和科技行业的投资机遇。中东局势及油价波动对全球经济产生影响，同时对港股和A股市场，尤其是硬科技和AI领域，提出了投资建议。消费市场变化及政府可能的刺激措施也被讨论，强调了政策对市场的重要影响。整体而言，对话聚焦于中国经济的最新动态、投资策略和特定行业的未来展望。</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经济分析与市场策略：陆家嘴金融论坛要点与居民负债表修复</w:t>
      </w:r>
    </w:p>
    <w:p>
      <w:r>
        <w:rPr>
          <w:rFonts w:ascii="等线(中文正文)" w:hAnsi="等线(中文正文)" w:cs="等线(中文正文)" w:eastAsia="等线(中文正文)"/>
          <w:b w:val="false"/>
          <w:i w:val="false"/>
          <w:sz w:val="20"/>
        </w:rPr>
        <w:t>经济学家和策略师讨论了近期经济数据，陆家嘴金融论坛要点，以及居民家庭资产负债表的官方核实与修复。AI被强调为重要投资领域，瑞幸咖啡获覆盖，目标价设定。尽管FMB行业低迷，但咖啡与奶茶行业增长较快。高盛电话会议仅对客户开放，提醒非客户挂断。</w:t>
      </w:r>
    </w:p>
    <w:p>
      <w:r>
        <w:rPr>
          <w:rFonts w:ascii="等线(中文正文)" w:hAnsi="等线(中文正文)" w:cs="等线(中文正文)" w:eastAsia="等线(中文正文)"/>
          <w:b w:val="false"/>
          <w:i w:val="false"/>
          <w:sz w:val="20"/>
        </w:rPr>
        <w:t/>
      </w:r>
    </w:p>
    <w:p>
      <w:pPr>
        <w:pStyle w:val="ab"/>
        <w:numPr>
          <w:numId w:val="2"/>
        </w:numPr>
      </w:pPr>
      <w:r>
        <w:t>02:45 中国宏观经济数据分析与政策预期</w:t>
      </w:r>
    </w:p>
    <w:p>
      <w:r>
        <w:rPr>
          <w:rFonts w:ascii="等线(中文正文)" w:hAnsi="等线(中文正文)" w:cs="等线(中文正文)" w:eastAsia="等线(中文正文)"/>
          <w:b w:val="false"/>
          <w:i w:val="false"/>
          <w:sz w:val="20"/>
        </w:rPr>
        <w:t>对话围绕中国五月份宏观经济数据展开，指出内需增长低于预期，经济分化明显，出口强劲但消费低迷，房地产活动深度收缩。二季度GDP增速预测下调至4.7%，面临下行风险，市场预期政策加码以支撑全年经济增长目标。</w:t>
      </w:r>
    </w:p>
    <w:p>
      <w:r>
        <w:rPr>
          <w:rFonts w:ascii="等线(中文正文)" w:hAnsi="等线(中文正文)" w:cs="等线(中文正文)" w:eastAsia="等线(中文正文)"/>
          <w:b w:val="false"/>
          <w:i w:val="false"/>
          <w:sz w:val="20"/>
        </w:rPr>
        <w:t/>
      </w:r>
    </w:p>
    <w:p>
      <w:pPr>
        <w:pStyle w:val="ab"/>
        <w:numPr>
          <w:numId w:val="3"/>
        </w:numPr>
      </w:pPr>
      <w:r>
        <w:t>04:26 工业增加值与油价波动对消费的影响分析</w:t>
      </w:r>
    </w:p>
    <w:p>
      <w:r>
        <w:rPr>
          <w:rFonts w:ascii="等线(中文正文)" w:hAnsi="等线(中文正文)" w:cs="等线(中文正文)" w:eastAsia="等线(中文正文)"/>
          <w:b w:val="false"/>
          <w:i w:val="false"/>
          <w:sz w:val="20"/>
        </w:rPr>
        <w:t>对话分析了五月份规模以上工业增加值同比增速的小幅上升，指出出口相关行业表现亮眼，而化工和有色金属冶炼等行业受中东局势影响面临负面冲击。同时，油价上升对国内消费造成拖累，特别是在石油产成品相关社会零售方面，油价上升20%导致消费量同比下降20%，远超历史周期反应弹性，这与新能源汽车普及和公共交通便利化密切相关。</w:t>
      </w:r>
    </w:p>
    <w:p>
      <w:r>
        <w:rPr>
          <w:rFonts w:ascii="等线(中文正文)" w:hAnsi="等线(中文正文)" w:cs="等线(中文正文)" w:eastAsia="等线(中文正文)"/>
          <w:b w:val="false"/>
          <w:i w:val="false"/>
          <w:sz w:val="20"/>
        </w:rPr>
        <w:t/>
      </w:r>
    </w:p>
    <w:p>
      <w:pPr>
        <w:pStyle w:val="ab"/>
        <w:numPr>
          <w:numId w:val="4"/>
        </w:numPr>
      </w:pPr>
      <w:r>
        <w:t>06:58 中国宏观经济指标分析：固定资产投资与社会消费品零售</w:t>
      </w:r>
    </w:p>
    <w:p>
      <w:r>
        <w:rPr>
          <w:rFonts w:ascii="等线(中文正文)" w:hAnsi="等线(中文正文)" w:cs="等线(中文正文)" w:eastAsia="等线(中文正文)"/>
          <w:b w:val="false"/>
          <w:i w:val="false"/>
          <w:sz w:val="20"/>
        </w:rPr>
        <w:t>对话分析了中国5月份固定资产投资和社会消费品零售的同比增速变化，指出固定资产投资受天气和政策影响环比下降，而社会消费品零售同比增速放缓，部分源于高基数影响。耐用品消费面临中期承压，但服务类消费表现良好。房地产市场呈现分化，一线城市房价有企稳迹象，而三四线城市则面临库存高企和人口流出挑战。</w:t>
      </w:r>
    </w:p>
    <w:p>
      <w:r>
        <w:rPr>
          <w:rFonts w:ascii="等线(中文正文)" w:hAnsi="等线(中文正文)" w:cs="等线(中文正文)" w:eastAsia="等线(中文正文)"/>
          <w:b w:val="false"/>
          <w:i w:val="false"/>
          <w:sz w:val="20"/>
        </w:rPr>
        <w:t/>
      </w:r>
    </w:p>
    <w:p>
      <w:pPr>
        <w:pStyle w:val="ab"/>
        <w:numPr>
          <w:numId w:val="5"/>
        </w:numPr>
      </w:pPr>
      <w:r>
        <w:t>11:55 7月政策窗口期与经济增长展望</w:t>
      </w:r>
    </w:p>
    <w:p>
      <w:r>
        <w:rPr>
          <w:rFonts w:ascii="等线(中文正文)" w:hAnsi="等线(中文正文)" w:cs="等线(中文正文)" w:eastAsia="等线(中文正文)"/>
          <w:b w:val="false"/>
          <w:i w:val="false"/>
          <w:sz w:val="20"/>
        </w:rPr>
        <w:t>对话讨论了7月作为政策关键窗口期的重要性，若7月15日经济数据不及预期，预计7月底的政治局会议将可能加强政策宽松基调，但额外增量财政政策出现可能性较低。当前政府未使用发债额度较大，政策性资金落地速度较慢，三季度经济增长有望因政策支持及中东局势好转而环比改善。</w:t>
      </w:r>
    </w:p>
    <w:p>
      <w:r>
        <w:rPr>
          <w:rFonts w:ascii="等线(中文正文)" w:hAnsi="等线(中文正文)" w:cs="等线(中文正文)" w:eastAsia="等线(中文正文)"/>
          <w:b w:val="false"/>
          <w:i w:val="false"/>
          <w:sz w:val="20"/>
        </w:rPr>
        <w:t/>
      </w:r>
    </w:p>
    <w:p>
      <w:pPr>
        <w:pStyle w:val="ab"/>
        <w:numPr>
          <w:numId w:val="6"/>
        </w:numPr>
      </w:pPr>
      <w:r>
        <w:t>13:22 货币政策调整与流动性充裕对债市的影响</w:t>
      </w:r>
    </w:p>
    <w:p>
      <w:r>
        <w:rPr>
          <w:rFonts w:ascii="等线(中文正文)" w:hAnsi="等线(中文正文)" w:cs="等线(中文正文)" w:eastAsia="等线(中文正文)"/>
          <w:b w:val="false"/>
          <w:i w:val="false"/>
          <w:sz w:val="20"/>
        </w:rPr>
        <w:t>上周论坛讨论了货币政策改革与对外投资管理，央行调整了资金利率走廊，引导银行间市场流动性保持充裕，预计政策利率将围绕1.4波动。同时，银行传统业务增速放缓，贷款更多投向科创与绿色环保企业，推动直接融资增长，债市收益率有望持续下行，流动性宽裕利好中国整体市场。</w:t>
      </w:r>
    </w:p>
    <w:p>
      <w:r>
        <w:rPr>
          <w:rFonts w:ascii="等线(中文正文)" w:hAnsi="等线(中文正文)" w:cs="等线(中文正文)" w:eastAsia="等线(中文正文)"/>
          <w:b w:val="false"/>
          <w:i w:val="false"/>
          <w:sz w:val="20"/>
        </w:rPr>
        <w:t/>
      </w:r>
    </w:p>
    <w:p>
      <w:pPr>
        <w:pStyle w:val="ab"/>
        <w:numPr>
          <w:numId w:val="7"/>
        </w:numPr>
      </w:pPr>
      <w:r>
        <w:t>16:49 中国资本账户与人民币国际化趋势分析</w:t>
      </w:r>
    </w:p>
    <w:p>
      <w:r>
        <w:rPr>
          <w:rFonts w:ascii="等线(中文正文)" w:hAnsi="等线(中文正文)" w:cs="等线(中文正文)" w:eastAsia="等线(中文正文)"/>
          <w:b w:val="false"/>
          <w:i w:val="false"/>
          <w:sz w:val="20"/>
        </w:rPr>
        <w:t>讨论了中国居民持续购买海外资产的趋势，以及人民币利差和企业出海政策的影响。提及香港离岸人民币国债的重启，强调合规出海业务的发展与资本流动的合理监管。指出人民币升值背景下，通过开前门堵后门策略，加强资本流动监控，推动人民币国际化，而非收紧资本管制。</w:t>
      </w:r>
    </w:p>
    <w:p>
      <w:r>
        <w:rPr>
          <w:rFonts w:ascii="等线(中文正文)" w:hAnsi="等线(中文正文)" w:cs="等线(中文正文)" w:eastAsia="等线(中文正文)"/>
          <w:b w:val="false"/>
          <w:i w:val="false"/>
          <w:sz w:val="20"/>
        </w:rPr>
        <w:t/>
      </w:r>
    </w:p>
    <w:p>
      <w:pPr>
        <w:pStyle w:val="ab"/>
        <w:numPr>
          <w:numId w:val="8"/>
        </w:numPr>
      </w:pPr>
      <w:r>
        <w:t>19:13 中国居民资产负债表与房地产市场分析</w:t>
      </w:r>
    </w:p>
    <w:p>
      <w:r>
        <w:rPr>
          <w:rFonts w:ascii="等线(中文正文)" w:hAnsi="等线(中文正文)" w:cs="等线(中文正文)" w:eastAsia="等线(中文正文)"/>
          <w:b w:val="false"/>
          <w:i w:val="false"/>
          <w:sz w:val="20"/>
        </w:rPr>
        <w:t>讨论了中国居民资产负债表在过去40年的扩张情况，强调了房地产在居民资产中的主导地位及其对消费和信心的影响。报告指出，随着金融市场的成熟和房贷的增加，居民负债增速高于资产增速，导致杠杆率上升。同时，中国居民资产集中于住房和存款，缺乏多元化投资渠道。</w:t>
      </w:r>
    </w:p>
    <w:p>
      <w:r>
        <w:rPr>
          <w:rFonts w:ascii="等线(中文正文)" w:hAnsi="等线(中文正文)" w:cs="等线(中文正文)" w:eastAsia="等线(中文正文)"/>
          <w:b w:val="false"/>
          <w:i w:val="false"/>
          <w:sz w:val="20"/>
        </w:rPr>
        <w:t/>
      </w:r>
    </w:p>
    <w:p>
      <w:pPr>
        <w:pStyle w:val="ab"/>
        <w:numPr>
          <w:numId w:val="9"/>
        </w:numPr>
      </w:pPr>
      <w:r>
        <w:t>22:01 中国居民资产负债表季度追踪与资产配置趋势分析</w:t>
      </w:r>
    </w:p>
    <w:p>
      <w:r>
        <w:rPr>
          <w:rFonts w:ascii="等线(中文正文)" w:hAnsi="等线(中文正文)" w:cs="等线(中文正文)" w:eastAsia="等线(中文正文)"/>
          <w:b w:val="false"/>
          <w:i w:val="false"/>
          <w:sz w:val="20"/>
        </w:rPr>
        <w:t>报告构建了季度追踪的居民资产负债表，显示居民总资产在2023年达到峰值后经历下降并趋于稳定。资产增长引擎从房地产转向金融资产，而负债端因房贷提前偿还和购房需求低迷导致杠杆率下降。与国际比较，中国居民债务虽占GDP比重不高，但相对收入偿债压力较大。地产下行虽创造资产重配条件，但转移过程缓慢且偏向富裕群体，提示中国居民储蓄从房地产向金融资产重新配置的宏观问题。</w:t>
      </w:r>
    </w:p>
    <w:p>
      <w:r>
        <w:rPr>
          <w:rFonts w:ascii="等线(中文正文)" w:hAnsi="等线(中文正文)" w:cs="等线(中文正文)" w:eastAsia="等线(中文正文)"/>
          <w:b w:val="false"/>
          <w:i w:val="false"/>
          <w:sz w:val="20"/>
        </w:rPr>
        <w:t/>
      </w:r>
    </w:p>
    <w:p>
      <w:pPr>
        <w:pStyle w:val="ab"/>
        <w:numPr>
          <w:numId w:val="10"/>
        </w:numPr>
      </w:pPr>
      <w:r>
        <w:t>26:06 中国居民资产配置转向金融资产趋势分析</w:t>
      </w:r>
    </w:p>
    <w:p>
      <w:r>
        <w:rPr>
          <w:rFonts w:ascii="等线(中文正文)" w:hAnsi="等线(中文正文)" w:cs="等线(中文正文)" w:eastAsia="等线(中文正文)"/>
          <w:b w:val="false"/>
          <w:i w:val="false"/>
          <w:sz w:val="20"/>
        </w:rPr>
        <w:t>中国存款利率下行促使居民储蓄从地产和低收益存款转向更广泛的金融资产。预计到2035年，地产在居民资产中的占比将从52%降至42%，股票和保险资产占比分别提升至11%和10%。尽管存款占比预计持平，这一资产配置的逐步轮动将为股票和保险市场带来重要结构性需求。</w:t>
      </w:r>
    </w:p>
    <w:p>
      <w:r>
        <w:rPr>
          <w:rFonts w:ascii="等线(中文正文)" w:hAnsi="等线(中文正文)" w:cs="等线(中文正文)" w:eastAsia="等线(中文正文)"/>
          <w:b w:val="false"/>
          <w:i w:val="false"/>
          <w:sz w:val="20"/>
        </w:rPr>
        <w:t/>
      </w:r>
    </w:p>
    <w:p>
      <w:pPr>
        <w:pStyle w:val="ab"/>
        <w:numPr>
          <w:numId w:val="11"/>
        </w:numPr>
      </w:pPr>
      <w:r>
        <w:t>28:13 一季度财报分析与二季度盈利增长展望</w:t>
      </w:r>
    </w:p>
    <w:p>
      <w:r>
        <w:rPr>
          <w:rFonts w:ascii="等线(中文正文)" w:hAnsi="等线(中文正文)" w:cs="等线(中文正文)" w:eastAsia="等线(中文正文)"/>
          <w:b w:val="false"/>
          <w:i w:val="false"/>
          <w:sz w:val="20"/>
        </w:rPr>
        <w:t>一季度财报显示A股硬科技显著跑赢海外中概股，科创板和创业板支撑股市表现，预计A股盈利增速将继续跑赢港股。AI硬件板块全球增速显著，中国AI上游板块盈利占比提升。营收端回暖，但利润率分化，国企修复明显，民企承压。出海主题推进，海外营收占比提升，新能源车等头部企业带动行业海外收入增长。上市公司现金回报主要来自股息，预计股东回报规模创新高。</w:t>
      </w:r>
    </w:p>
    <w:p>
      <w:r>
        <w:rPr>
          <w:rFonts w:ascii="等线(中文正文)" w:hAnsi="等线(中文正文)" w:cs="等线(中文正文)" w:eastAsia="等线(中文正文)"/>
          <w:b w:val="false"/>
          <w:i w:val="false"/>
          <w:sz w:val="20"/>
        </w:rPr>
        <w:t/>
      </w:r>
    </w:p>
    <w:p>
      <w:pPr>
        <w:pStyle w:val="ab"/>
        <w:numPr>
          <w:numId w:val="12"/>
        </w:numPr>
      </w:pPr>
      <w:r>
        <w:t>37:04 出海企业增长策略与市场分析</w:t>
      </w:r>
    </w:p>
    <w:p>
      <w:r>
        <w:rPr>
          <w:rFonts w:ascii="等线(中文正文)" w:hAnsi="等线(中文正文)" w:cs="等线(中文正文)" w:eastAsia="等线(中文正文)"/>
          <w:b w:val="false"/>
          <w:i w:val="false"/>
          <w:sz w:val="20"/>
        </w:rPr>
        <w:t>讨论了出海企业通过海外扩张提升盈利增速的策略，分析了社会零售增速上升的原因，以及中东谈判局势变化对全球市场的影响，特别是油价预测下调与黄金价格调整的观点更新。</w:t>
      </w:r>
    </w:p>
    <w:p>
      <w:r>
        <w:rPr>
          <w:rFonts w:ascii="等线(中文正文)" w:hAnsi="等线(中文正文)" w:cs="等线(中文正文)" w:eastAsia="等线(中文正文)"/>
          <w:b w:val="false"/>
          <w:i w:val="false"/>
          <w:sz w:val="20"/>
        </w:rPr>
        <w:t/>
      </w:r>
    </w:p>
    <w:p>
      <w:pPr>
        <w:pStyle w:val="ab"/>
        <w:numPr>
          <w:numId w:val="13"/>
        </w:numPr>
      </w:pPr>
      <w:r>
        <w:t>44:25 港股底部与翻转机会探讨</w:t>
      </w:r>
    </w:p>
    <w:p>
      <w:r>
        <w:rPr>
          <w:rFonts w:ascii="等线(中文正文)" w:hAnsi="等线(中文正文)" w:cs="等线(中文正文)" w:eastAsia="等线(中文正文)"/>
          <w:b w:val="false"/>
          <w:i w:val="false"/>
          <w:sz w:val="20"/>
        </w:rPr>
        <w:t>对话围绕港股是否已至底部及何时出现翻转机会展开。分析指出，尽管恒生指数自去年10月下滑约20%，估值较低，但盈利趋势仍集中于硬科技板块。建议关注8月下半月的港股业绩期，预计下半年盈利增速可能转正，但短期内A股表现优于港股。中国科技投资当前更青睐与AI底层基础设施相关的硬件，而互联网大厂估值虽低，仍需时间复苏。</w:t>
      </w:r>
    </w:p>
    <w:p>
      <w:r>
        <w:rPr>
          <w:rFonts w:ascii="等线(中文正文)" w:hAnsi="等线(中文正文)" w:cs="等线(中文正文)" w:eastAsia="等线(中文正文)"/>
          <w:b w:val="false"/>
          <w:i w:val="false"/>
          <w:sz w:val="20"/>
        </w:rPr>
        <w:t/>
      </w:r>
    </w:p>
    <w:p>
      <w:pPr>
        <w:pStyle w:val="ab"/>
        <w:numPr>
          <w:numId w:val="14"/>
        </w:numPr>
      </w:pPr>
      <w:r>
        <w:t>47:48 消费疲软与居民资产负债表修复</w:t>
      </w:r>
    </w:p>
    <w:p>
      <w:r>
        <w:rPr>
          <w:rFonts w:ascii="等线(中文正文)" w:hAnsi="等线(中文正文)" w:cs="等线(中文正文)" w:eastAsia="等线(中文正文)"/>
          <w:b w:val="false"/>
          <w:i w:val="false"/>
          <w:sz w:val="20"/>
        </w:rPr>
        <w:t>讨论了中国当前消费疲软的现状，以及中央政府提出通过修复居民资产负债表来提振消费的策略。强调了房地产市场稳定对于提升居民消费能力的重要性，同时指出政策制定者在促进消费方面更多地关注供给侧改革。此外，还分析了未来A股市场中科技类指数相较于大盘指数可能表现更佳的趋势，以及国家队在ETF持仓上的操作倾向。</w:t>
      </w:r>
    </w:p>
    <w:p>
      <w:r>
        <w:rPr>
          <w:rFonts w:ascii="等线(中文正文)" w:hAnsi="等线(中文正文)" w:cs="等线(中文正文)" w:eastAsia="等线(中文正文)"/>
          <w:b w:val="false"/>
          <w:i w:val="false"/>
          <w:sz w:val="20"/>
        </w:rPr>
        <w:t/>
      </w:r>
    </w:p>
    <w:p>
      <w:pPr>
        <w:pStyle w:val="a7"/>
      </w:pPr>
      <w:r>
        <w:t>发言总结</w:t>
      </w:r>
    </w:p>
    <w:p>
      <w:pPr>
        <w:pStyle w:val="ab"/>
        <w:numPr>
          <w:numId w:val="15"/>
        </w:numPr>
      </w:pPr>
      <w:r>
        <w:t>发言人1</w:t>
      </w:r>
    </w:p>
    <w:p>
      <w:r>
        <w:rPr>
          <w:rFonts w:ascii="等线(中文正文)" w:hAnsi="等线(中文正文)" w:cs="等线(中文正文)" w:eastAsia="等线(中文正文)"/>
          <w:b w:val="false"/>
          <w:i w:val="false"/>
          <w:sz w:val="20"/>
        </w:rPr>
        <w:t>他主持的会议聚焦于当前经济形势与未来趋势，邀请了多位经济学家与策略师共同探讨。会议深入分析了宏观经济数字，讨论了居民家庭资产负债表的修复路径，以及人工智能在投资领域的创新应用。特别地，对新能源汽车、半导体和硬科技等行业的发展机遇进行了详细讨论。此外，会议还评估了近期政策变动、中美贸易关系紧张及全球能源价格波动对市场的影响。他强调，在当前经济环境下，对中国市场的长期增长持乐观态度，并强调科技创新和产业升级的重要性。会议旨在通过广泛交流，促进对市场策略、经济增长预测及政策预期的深入理解，彰显了对中国经济潜力与未来发展的信心。</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问：请由立生分享一下上周公布的五月份中国宏观经济数字，并简述整体经济状况？</w:t>
      </w:r>
    </w:p>
    <w:p>
      <w:r>
        <w:rPr>
          <w:rFonts w:ascii="等线(中文正文)" w:hAnsi="等线(中文正文)" w:cs="等线(中文正文)" w:eastAsia="等线(中文正文)"/>
          <w:b w:val="false"/>
          <w:i w:val="false"/>
          <w:sz w:val="20"/>
        </w:rPr>
        <w:t>发言人1 答：上周公布的五月份中国宏观经济数据显示，经济分化明显。出口量增长强劲，工业生产保持平稳，但消费低迷，房地产建筑活动深度收缩。与预期相比，内需部分的增长略低于预期。将经济数据从同比转为环比后，放入高盛自有的CAI当前经济活动指数中，可以看出二季度经济增速大幅下行，GDP预测较一季度下降0.3个百分点至4.7%，且面临更多偏向下行的风险。考虑到全年经济增长目标为4.5到5.0左右，二季度的月度增速偏向下界，市场更加谨慎，政策执行加快。</w:t>
      </w:r>
    </w:p>
    <w:p>
      <w:r>
        <w:rPr>
          <w:rFonts w:ascii="等线(中文正文)" w:hAnsi="等线(中文正文)" w:cs="等线(中文正文)" w:eastAsia="等线(中文正文)"/>
          <w:b w:val="false"/>
          <w:i w:val="false"/>
          <w:sz w:val="20"/>
        </w:rPr>
        <w:t/>
      </w:r>
    </w:p>
    <w:p>
      <w:pPr>
        <w:pStyle w:val="ab"/>
      </w:pPr>
      <w:r>
        <w:t>发言人1 问：在工业增加值方面有哪些亮点或变化？</w:t>
      </w:r>
    </w:p>
    <w:p>
      <w:r>
        <w:rPr>
          <w:rFonts w:ascii="等线(中文正文)" w:hAnsi="等线(中文正文)" w:cs="等线(中文正文)" w:eastAsia="等线(中文正文)"/>
          <w:b w:val="false"/>
          <w:i w:val="false"/>
          <w:sz w:val="20"/>
        </w:rPr>
        <w:t>发言人1 答：五月份规模以上工业增加值同比增速从四月份的4.1%小幅上升至4.5%，其中出口相关行业如电子产品和机电产品表现亮眼，电力相关生产也保持强劲。然而，受到中东局势和海峡堵塞扰动的化工和有色金属冶炼等行业面临负面冲击。总体来看，正向推动力大于负向拖累，使得工业增加值小幅改善。同时，在油价上升背景下，对国内消费产生一定拖累。</w:t>
      </w:r>
    </w:p>
    <w:p>
      <w:r>
        <w:rPr>
          <w:rFonts w:ascii="等线(中文正文)" w:hAnsi="等线(中文正文)" w:cs="等线(中文正文)" w:eastAsia="等线(中文正文)"/>
          <w:b w:val="false"/>
          <w:i w:val="false"/>
          <w:sz w:val="20"/>
        </w:rPr>
        <w:t/>
      </w:r>
    </w:p>
    <w:p>
      <w:pPr>
        <w:pStyle w:val="ab"/>
      </w:pPr>
      <w:r>
        <w:t>发言人1 问：油价上升对社会零售的影响如何？</w:t>
      </w:r>
    </w:p>
    <w:p>
      <w:r>
        <w:rPr>
          <w:rFonts w:ascii="等线(中文正文)" w:hAnsi="等线(中文正文)" w:cs="等线(中文正文)" w:eastAsia="等线(中文正文)"/>
          <w:b w:val="false"/>
          <w:i w:val="false"/>
          <w:sz w:val="20"/>
        </w:rPr>
        <w:t>发言人1 答：过去两个月，油价上升近20%，但社会零售中石油产成品的消费却同比下降20%。根据历史经验，油价上升10%通常会导致相关原油需求下降5%。本轮周期中，量的反应弹性明显大于之前几轮周期，这主要是由于新能源汽车普及率提高以及非石油类原料占比增加，使得在油价上升时，原油直接消费大幅下降。</w:t>
      </w:r>
    </w:p>
    <w:p>
      <w:r>
        <w:rPr>
          <w:rFonts w:ascii="等线(中文正文)" w:hAnsi="等线(中文正文)" w:cs="等线(中文正文)" w:eastAsia="等线(中文正文)"/>
          <w:b w:val="false"/>
          <w:i w:val="false"/>
          <w:sz w:val="20"/>
        </w:rPr>
        <w:t/>
      </w:r>
    </w:p>
    <w:p>
      <w:pPr>
        <w:pStyle w:val="ab"/>
      </w:pPr>
      <w:r>
        <w:t>发言人1 问：固定资产投资和社会消费品零售的情况如何？</w:t>
      </w:r>
    </w:p>
    <w:p>
      <w:r>
        <w:rPr>
          <w:rFonts w:ascii="等线(中文正文)" w:hAnsi="等线(中文正文)" w:cs="等线(中文正文)" w:eastAsia="等线(中文正文)"/>
          <w:b w:val="false"/>
          <w:i w:val="false"/>
          <w:sz w:val="20"/>
        </w:rPr>
        <w:t>发言人1 答：5月份单月固定资产投资同比增速下降，反映出恶劣天气及政策选择的影响。政府发债速度放缓，财政支出力度减弱，加上一季度GDP超预期，导致二季度经济增长环比减速。固定资产投资数据的质量问题增大，统计局可能对之前有所高报的数据进行了统计修正，实际投资波动幅度小于官方数据。社会消费品零售同比增速放缓至负0.6%，部分原因是去年5月份基数较高，市场对此已有充分预期。总体而言，固定资产投资虽有反弹，但二季度边际下行；社会零售虽有下降，但符合市场预期。</w:t>
      </w:r>
    </w:p>
    <w:p>
      <w:r>
        <w:rPr>
          <w:rFonts w:ascii="等线(中文正文)" w:hAnsi="等线(中文正文)" w:cs="等线(中文正文)" w:eastAsia="等线(中文正文)"/>
          <w:b w:val="false"/>
          <w:i w:val="false"/>
          <w:sz w:val="20"/>
        </w:rPr>
        <w:t/>
      </w:r>
    </w:p>
    <w:p>
      <w:pPr>
        <w:pStyle w:val="ab"/>
      </w:pPr>
      <w:r>
        <w:t>发言人1 问：耐用品消费在当前及未来面临的形势如何？</w:t>
      </w:r>
    </w:p>
    <w:p>
      <w:r>
        <w:rPr>
          <w:rFonts w:ascii="等线(中文正文)" w:hAnsi="等线(中文正文)" w:cs="等线(中文正文)" w:eastAsia="等线(中文正文)"/>
          <w:b w:val="false"/>
          <w:i w:val="false"/>
          <w:sz w:val="20"/>
        </w:rPr>
        <w:t>发言人1 答：尽管有额外资金支持，但受政策影响，汽车、家电、电子产品等耐用品销售边际刺激效果减弱。整体上看，五月电子产品和家居电器环比有所提升，但由于高基数效应，同比增速有所减速；而汽车销售则呈现同比和环比下行趋势。因此，预计耐用品消费在未来一段时间将面临中期承压。</w:t>
      </w:r>
    </w:p>
    <w:p>
      <w:r>
        <w:rPr>
          <w:rFonts w:ascii="等线(中文正文)" w:hAnsi="等线(中文正文)" w:cs="等线(中文正文)" w:eastAsia="等线(中文正文)"/>
          <w:b w:val="false"/>
          <w:i w:val="false"/>
          <w:sz w:val="20"/>
        </w:rPr>
        <w:t/>
      </w:r>
    </w:p>
    <w:p>
      <w:pPr>
        <w:pStyle w:val="ab"/>
      </w:pPr>
      <w:r>
        <w:t>发言人1 问：服务类消费与商品消费相比表现如何？</w:t>
      </w:r>
    </w:p>
    <w:p>
      <w:r>
        <w:rPr>
          <w:rFonts w:ascii="等线(中文正文)" w:hAnsi="等线(中文正文)" w:cs="等线(中文正文)" w:eastAsia="等线(中文正文)"/>
          <w:b w:val="false"/>
          <w:i w:val="false"/>
          <w:sz w:val="20"/>
        </w:rPr>
        <w:t>发言人1 答：目前服务类消费持续好于商品消费，且从五月份数据来看，线上消费也优于线下消费。不过，具体分析过去几年居民资产负债表的变化需要进一步关注。</w:t>
      </w:r>
    </w:p>
    <w:p>
      <w:r>
        <w:rPr>
          <w:rFonts w:ascii="等线(中文正文)" w:hAnsi="等线(中文正文)" w:cs="等线(中文正文)" w:eastAsia="等线(中文正文)"/>
          <w:b w:val="false"/>
          <w:i w:val="false"/>
          <w:sz w:val="20"/>
        </w:rPr>
        <w:t/>
      </w:r>
    </w:p>
    <w:p>
      <w:pPr>
        <w:pStyle w:val="ab"/>
      </w:pPr>
      <w:r>
        <w:t>发言人1 问：房地产市场现状及未来展望是怎样的？</w:t>
      </w:r>
    </w:p>
    <w:p>
      <w:r>
        <w:rPr>
          <w:rFonts w:ascii="等线(中文正文)" w:hAnsi="等线(中文正文)" w:cs="等线(中文正文)" w:eastAsia="等线(中文正文)"/>
          <w:b w:val="false"/>
          <w:i w:val="false"/>
          <w:sz w:val="20"/>
        </w:rPr>
        <w:t>发言人1 答：房地产市场存在明显分化，一线城市和部分强二线城市的房地产表现亮眼，但全国整体数据仍处于同比深度收缩状态，如新开工、竣工和施工面积等关键指标。一线城市房价在过去两个月环比改善，但三四线城市受制于高库存、地方财力疲软以及人口净流出等问题，短期内难以实现快速刺激，房地产市场大、小城市间的分化现象将持续显现。</w:t>
      </w:r>
    </w:p>
    <w:p>
      <w:r>
        <w:rPr>
          <w:rFonts w:ascii="等线(中文正文)" w:hAnsi="等线(中文正文)" w:cs="等线(中文正文)" w:eastAsia="等线(中文正文)"/>
          <w:b w:val="false"/>
          <w:i w:val="false"/>
          <w:sz w:val="20"/>
        </w:rPr>
        <w:t/>
      </w:r>
    </w:p>
    <w:p>
      <w:pPr>
        <w:pStyle w:val="ab"/>
      </w:pPr>
      <w:r>
        <w:t>发言人1 问：对于接下来的政策走向，特别是七月份的政治局会议有何预期？</w:t>
      </w:r>
    </w:p>
    <w:p>
      <w:r>
        <w:rPr>
          <w:rFonts w:ascii="等线(中文正文)" w:hAnsi="等线(中文正文)" w:cs="等线(中文正文)" w:eastAsia="等线(中文正文)"/>
          <w:b w:val="false"/>
          <w:i w:val="false"/>
          <w:sz w:val="20"/>
        </w:rPr>
        <w:t>发言人1 答：七月份的GDP数字将对政策走向起到关键作用。若二季度GDP承压明显，且7月15日的数据低于市场或领导层预期，在政治局会议上可能会看到政策宽松基调加码的情况。然而，新增预算之外的财政政策不太可能出现，因为当前还有较大额度的政府发债未使用，财政存款也高于去年同期水平。预计三季度财政紧缩态势可能会因政策支持和中东局势好转而有所改善。</w:t>
      </w:r>
    </w:p>
    <w:p>
      <w:r>
        <w:rPr>
          <w:rFonts w:ascii="等线(中文正文)" w:hAnsi="等线(中文正文)" w:cs="等线(中文正文)" w:eastAsia="等线(中文正文)"/>
          <w:b w:val="false"/>
          <w:i w:val="false"/>
          <w:sz w:val="20"/>
        </w:rPr>
        <w:t/>
      </w:r>
    </w:p>
    <w:p>
      <w:pPr>
        <w:pStyle w:val="ab"/>
      </w:pPr>
      <w:r>
        <w:t>发言人1 问：货币政策改革方向及对外投资管理有何新动态？</w:t>
      </w:r>
    </w:p>
    <w:p>
      <w:r>
        <w:rPr>
          <w:rFonts w:ascii="等线(中文正文)" w:hAnsi="等线(中文正文)" w:cs="等线(中文正文)" w:eastAsia="等线(中文正文)"/>
          <w:b w:val="false"/>
          <w:i w:val="false"/>
          <w:sz w:val="20"/>
        </w:rPr>
        <w:t>发言人1 答：上周论坛上讨论的货币政策改革方面，市场普遍期待更看重隔夜利率而非超额准备金利率，并考虑让存贷款利率进一步挂钩以降低银行负债成本。而在对外投资管理上，国务院发文旨在管理中国的对外投资，市场担心在人民币升值背景下中国会收紧资金出入境。然而，从最新的货币政策调整来看，资金利率上限大幅下压，政策利率引导资金利率保持相对充裕，有助于债市收益率下行，且未来中国将更依赖直接融资，尤其是股票和债券发行，这将对整体中国市场产生利好影响。</w:t>
      </w:r>
    </w:p>
    <w:p>
      <w:r>
        <w:rPr>
          <w:rFonts w:ascii="等线(中文正文)" w:hAnsi="等线(中文正文)" w:cs="等线(中文正文)" w:eastAsia="等线(中文正文)"/>
          <w:b w:val="false"/>
          <w:i w:val="false"/>
          <w:sz w:val="20"/>
        </w:rPr>
        <w:t/>
      </w:r>
    </w:p>
    <w:p>
      <w:pPr>
        <w:pStyle w:val="ab"/>
      </w:pPr>
      <w:r>
        <w:t>发言人1 问：过去几年中国资本账户的主要流向是什么？</w:t>
      </w:r>
    </w:p>
    <w:p>
      <w:r>
        <w:rPr>
          <w:rFonts w:ascii="等线(中文正文)" w:hAnsi="等线(中文正文)" w:cs="等线(中文正文)" w:eastAsia="等线(中文正文)"/>
          <w:b w:val="false"/>
          <w:i w:val="false"/>
          <w:sz w:val="20"/>
        </w:rPr>
        <w:t>发言人1 答：过去几年，中国资本账户的主要流向是居民购买海外资产，表现为持续的资本外流。这一现象在汇改后有所体现，并在最近几年尤为明显，居民购买海外股票市场和其他投资渠道增多，同时中国企业出海做ODI的现象也日益增加。</w:t>
      </w:r>
    </w:p>
    <w:p>
      <w:r>
        <w:rPr>
          <w:rFonts w:ascii="等线(中文正文)" w:hAnsi="等线(中文正文)" w:cs="等线(中文正文)" w:eastAsia="等线(中文正文)"/>
          <w:b w:val="false"/>
          <w:i w:val="false"/>
          <w:sz w:val="20"/>
        </w:rPr>
        <w:t/>
      </w:r>
    </w:p>
    <w:p>
      <w:pPr>
        <w:pStyle w:val="ab"/>
      </w:pPr>
      <w:r>
        <w:t>发言人1 问：香港证监会对于离岸人民币国债的态度是什么？</w:t>
      </w:r>
    </w:p>
    <w:p>
      <w:r>
        <w:rPr>
          <w:rFonts w:ascii="等线(中文正文)" w:hAnsi="等线(中文正文)" w:cs="等线(中文正文)" w:eastAsia="等线(中文正文)"/>
          <w:b w:val="false"/>
          <w:i w:val="false"/>
          <w:sz w:val="20"/>
        </w:rPr>
        <w:t>发言人1 答：香港证监会支持香港方面上市中国离岸人民币国债产品，如五年期国债，这标志着人民币国际化进程中的资产端扩张。监管机构也强调将鼓励合规的出海业务发展，确保有合适的申报流程和官方通道。</w:t>
      </w:r>
    </w:p>
    <w:p>
      <w:r>
        <w:rPr>
          <w:rFonts w:ascii="等线(中文正文)" w:hAnsi="等线(中文正文)" w:cs="等线(中文正文)" w:eastAsia="等线(中文正文)"/>
          <w:b w:val="false"/>
          <w:i w:val="false"/>
          <w:sz w:val="20"/>
        </w:rPr>
        <w:t/>
      </w:r>
    </w:p>
    <w:p>
      <w:pPr>
        <w:pStyle w:val="ab"/>
      </w:pPr>
      <w:r>
        <w:t>发言人1 问：当前中国的资本管制政策是否在人民币升值时收紧？</w:t>
      </w:r>
    </w:p>
    <w:p>
      <w:r>
        <w:rPr>
          <w:rFonts w:ascii="等线(中文正文)" w:hAnsi="等线(中文正文)" w:cs="等线(中文正文)" w:eastAsia="等线(中文正文)"/>
          <w:b w:val="false"/>
          <w:i w:val="false"/>
          <w:sz w:val="20"/>
        </w:rPr>
        <w:t>发言人1 答：当前中国的资本管制政策并非在人民币升值时收紧，而是在于开前门堵后门的过程，满足居民合理合规的海外资产配置需求，通过更受控的方式来实现人民币国际化。因此，在人民币升值背景下，资本外流压力并不大，主要关注点在于合规性和监控框架。</w:t>
      </w:r>
    </w:p>
    <w:p>
      <w:r>
        <w:rPr>
          <w:rFonts w:ascii="等线(中文正文)" w:hAnsi="等线(中文正文)" w:cs="等线(中文正文)" w:eastAsia="等线(中文正文)"/>
          <w:b w:val="false"/>
          <w:i w:val="false"/>
          <w:sz w:val="20"/>
        </w:rPr>
        <w:t/>
      </w:r>
    </w:p>
    <w:p>
      <w:pPr>
        <w:pStyle w:val="ab"/>
      </w:pPr>
      <w:r>
        <w:t>发言人1 问：对于未来人民币汇率的看法以及居民资产负债表的情况如何？</w:t>
      </w:r>
    </w:p>
    <w:p>
      <w:r>
        <w:rPr>
          <w:rFonts w:ascii="等线(中文正文)" w:hAnsi="等线(中文正文)" w:cs="等线(中文正文)" w:eastAsia="等线(中文正文)"/>
          <w:b w:val="false"/>
          <w:i w:val="false"/>
          <w:sz w:val="20"/>
        </w:rPr>
        <w:t>发言人1 答：预计未来人民币仍将以结构性升值为主，且目前市场普遍预期人民币会升值。关于居民资产负债表，过去20多年里，房地产曾是中国居民财富的主要载体，但随着房价下跌，其对居民信心和消费产生持续拖累。官方数据更新滞后，而通过构建季度追踪的居民资产负债表模型，发现居民总资产在房地产市场调整前后经历了变化，资产端从房地产转向金融资产，负债端则呈现下降趋势，居民杠杆率有所降低。</w:t>
      </w:r>
    </w:p>
    <w:p>
      <w:r>
        <w:rPr>
          <w:rFonts w:ascii="等线(中文正文)" w:hAnsi="等线(中文正文)" w:cs="等线(中文正文)" w:eastAsia="等线(中文正文)"/>
          <w:b w:val="false"/>
          <w:i w:val="false"/>
          <w:sz w:val="20"/>
        </w:rPr>
        <w:t/>
      </w:r>
    </w:p>
    <w:p>
      <w:pPr>
        <w:pStyle w:val="ab"/>
      </w:pPr>
      <w:r>
        <w:t>发言人1 问：中国居民资产负债表的演变趋势及与其他国家的比较如何？</w:t>
      </w:r>
    </w:p>
    <w:p>
      <w:r>
        <w:rPr>
          <w:rFonts w:ascii="等线(中文正文)" w:hAnsi="等线(中文正文)" w:cs="等线(中文正文)" w:eastAsia="等线(中文正文)"/>
          <w:b w:val="false"/>
          <w:i w:val="false"/>
          <w:sz w:val="20"/>
        </w:rPr>
        <w:t>发言人1 答：中国的居民资产负债表在过去40年持续扩张，净财富占名义GDP比重从1997年的200%上升至2022年的400%。资产和负债增速逐步放缓，且负债增速高于资产增速导致杠杆率上升。相较于其他国家，中国的居民杠杆率整体不算高，但由于居民可支配收入占GDP的比例相对较低，居民债务相对于可支配收入的占比处于高位，意味着偿债压力较大。随着房地产从资产增长的主要引擎变为拖累因素，金融资产的边际贡献逐渐上升，未来一个重要的宏观问题是观察中国居民储蓄从房地产中重新配置于金融资产的程度和速度。</w:t>
      </w:r>
    </w:p>
    <w:p>
      <w:r>
        <w:rPr>
          <w:rFonts w:ascii="等线(中文正文)" w:hAnsi="等线(中文正文)" w:cs="等线(中文正文)" w:eastAsia="等线(中文正文)"/>
          <w:b w:val="false"/>
          <w:i w:val="false"/>
          <w:sz w:val="20"/>
        </w:rPr>
        <w:t/>
      </w:r>
    </w:p>
    <w:p>
      <w:pPr>
        <w:pStyle w:val="ab"/>
      </w:pPr>
      <w:r>
        <w:t>发言人1 问：日本和美国在地产下行后的资产配置变化对中国有何启示？</w:t>
      </w:r>
    </w:p>
    <w:p>
      <w:r>
        <w:rPr>
          <w:rFonts w:ascii="等线(中文正文)" w:hAnsi="等线(中文正文)" w:cs="等线(中文正文)" w:eastAsia="等线(中文正文)"/>
          <w:b w:val="false"/>
          <w:i w:val="false"/>
          <w:sz w:val="20"/>
        </w:rPr>
        <w:t>发言人1 答：从日本和美国的经验来看，地产下行可能为中国资产重新配置创造条件，但这个过程通常较为缓慢且偏向于富裕群体。在日本，居民资产在90年代地产和股市泡沫破裂后，长期高度集中于现金和存款，而非全面转向股票资产。而在08年美国次贷危机后，中等收入家庭仍较多地将资产配置在房地产上。因此，中国在面对地产下行时，应关注资产重新配置的可能性及其不均衡性，并考虑存款利率下行对居民寻求其他投资渠道的影响。</w:t>
      </w:r>
    </w:p>
    <w:p>
      <w:r>
        <w:rPr>
          <w:rFonts w:ascii="等线(中文正文)" w:hAnsi="等线(中文正文)" w:cs="等线(中文正文)" w:eastAsia="等线(中文正文)"/>
          <w:b w:val="false"/>
          <w:i w:val="false"/>
          <w:sz w:val="20"/>
        </w:rPr>
        <w:t/>
      </w:r>
    </w:p>
    <w:p>
      <w:pPr>
        <w:pStyle w:val="ab"/>
      </w:pPr>
      <w:r>
        <w:t>发言人1 问：存款利率下行如何影响中国居民资产配置？</w:t>
      </w:r>
    </w:p>
    <w:p>
      <w:r>
        <w:rPr>
          <w:rFonts w:ascii="等线(中文正文)" w:hAnsi="等线(中文正文)" w:cs="等线(中文正文)" w:eastAsia="等线(中文正文)"/>
          <w:b w:val="false"/>
          <w:i w:val="false"/>
          <w:sz w:val="20"/>
        </w:rPr>
        <w:t>发言人1 答：随着中国存款利率的下行，居民将寻求除存款之外的投资渠道，这初期表现为非银机构存款增加。尽管这一转移过程尚处于初期阶段，但表明居民储蓄正在逐步从低收益的地产和存款，重新配置到更广泛和风险较高的金融资产中，如股票和保险。</w:t>
      </w:r>
    </w:p>
    <w:p>
      <w:r>
        <w:rPr>
          <w:rFonts w:ascii="等线(中文正文)" w:hAnsi="等线(中文正文)" w:cs="等线(中文正文)" w:eastAsia="等线(中文正文)"/>
          <w:b w:val="false"/>
          <w:i w:val="false"/>
          <w:sz w:val="20"/>
        </w:rPr>
        <w:t/>
      </w:r>
    </w:p>
    <w:p>
      <w:pPr>
        <w:pStyle w:val="ab"/>
      </w:pPr>
      <w:r>
        <w:t>发言人1 问：未来中国居民资产配置将如何演变？</w:t>
      </w:r>
    </w:p>
    <w:p>
      <w:r>
        <w:rPr>
          <w:rFonts w:ascii="等线(中文正文)" w:hAnsi="等线(中文正文)" w:cs="等线(中文正文)" w:eastAsia="等线(中文正文)"/>
          <w:b w:val="false"/>
          <w:i w:val="false"/>
          <w:sz w:val="20"/>
        </w:rPr>
        <w:t>发言人1 答：根据基准情形估算，参考日本和美国历史经验，预计在未来十年内，中国居民资产负债表将逐渐从地产转向更广泛的金融资产。到2035年，地产在居民资产中的占比可能从当前的约52%降至42%，同时股票资产占比预计从6%上升至11%，保险渗透率则可能从6%升至10%。存款占比预计相对持平。</w:t>
      </w:r>
    </w:p>
    <w:p>
      <w:r>
        <w:rPr>
          <w:rFonts w:ascii="等线(中文正文)" w:hAnsi="等线(中文正文)" w:cs="等线(中文正文)" w:eastAsia="等线(中文正文)"/>
          <w:b w:val="false"/>
          <w:i w:val="false"/>
          <w:sz w:val="20"/>
        </w:rPr>
        <w:t/>
      </w:r>
    </w:p>
    <w:p>
      <w:pPr>
        <w:pStyle w:val="ab"/>
      </w:pPr>
      <w:r>
        <w:t>发言人1 问：一季度A股市场表现如何，以及对二季度盈利增长前景的判断？</w:t>
      </w:r>
    </w:p>
    <w:p>
      <w:r>
        <w:rPr>
          <w:rFonts w:ascii="等线(中文正文)" w:hAnsi="等线(中文正文)" w:cs="等线(中文正文)" w:eastAsia="等线(中文正文)"/>
          <w:b w:val="false"/>
          <w:i w:val="false"/>
          <w:sz w:val="20"/>
        </w:rPr>
        <w:t>发言人1 答：一季度A股市场呈现分化态势，硬科技板块显著跑赢海外中概股。其中，科创板和创业板盈利增长支撑了股市表现，预计二季度A股将继续跑赢港股盈利增速，沪深300盈利增速预计为11%，而MACI中国指数可能持平。港股盈利同比转正可能要到下半年。</w:t>
      </w:r>
    </w:p>
    <w:p>
      <w:r>
        <w:rPr>
          <w:rFonts w:ascii="等线(中文正文)" w:hAnsi="等线(中文正文)" w:cs="等线(中文正文)" w:eastAsia="等线(中文正文)"/>
          <w:b w:val="false"/>
          <w:i w:val="false"/>
          <w:sz w:val="20"/>
        </w:rPr>
        <w:t/>
      </w:r>
    </w:p>
    <w:p>
      <w:pPr>
        <w:pStyle w:val="ab"/>
      </w:pPr>
      <w:r>
        <w:t>发言人1 问：AI硬件板块在全球范围内的增长趋势如何？</w:t>
      </w:r>
    </w:p>
    <w:p>
      <w:r>
        <w:rPr>
          <w:rFonts w:ascii="等线(中文正文)" w:hAnsi="等线(中文正文)" w:cs="等线(中文正文)" w:eastAsia="等线(中文正文)"/>
          <w:b w:val="false"/>
          <w:i w:val="false"/>
          <w:sz w:val="20"/>
        </w:rPr>
        <w:t>发言人1 答：全球范围内，AI硬件板块增速明显，尤其是中国AI上游板块盈利占比大幅提升。在全球主要市场如韩国、台湾等地，AI硬件盈利占比份额也显著提升。同时，中国本土的半导体、电力、算力、基建等行业的盈利增速较快，而互联网软科技增速相对较低，这也解释了市场分化的现象。</w:t>
      </w:r>
    </w:p>
    <w:p>
      <w:r>
        <w:rPr>
          <w:rFonts w:ascii="等线(中文正文)" w:hAnsi="等线(中文正文)" w:cs="等线(中文正文)" w:eastAsia="等线(中文正文)"/>
          <w:b w:val="false"/>
          <w:i w:val="false"/>
          <w:sz w:val="20"/>
        </w:rPr>
        <w:t/>
      </w:r>
    </w:p>
    <w:p>
      <w:pPr>
        <w:pStyle w:val="ab"/>
      </w:pPr>
      <w:r>
        <w:t>发言人1 问：市场基本面的变化如何反映到各类主题上？</w:t>
      </w:r>
    </w:p>
    <w:p>
      <w:r>
        <w:rPr>
          <w:rFonts w:ascii="等线(中文正文)" w:hAnsi="等线(中文正文)" w:cs="等线(中文正文)" w:eastAsia="等线(中文正文)"/>
          <w:b w:val="false"/>
          <w:i w:val="false"/>
          <w:sz w:val="20"/>
        </w:rPr>
        <w:t>发言人1 答：从营收端看，全市场营收整体回暖，部分板块如brokers、IT和材料板块营收增速明显反弹。然而，在利润率方面，存在较大分化，民企消费类新基板块利润率承压，国企利润率修复明显。不同行业中，半导体、工业金属和航空利润率有所提升，但汽车、农业、电商和建材光伏设备利润率较低。</w:t>
      </w:r>
    </w:p>
    <w:p>
      <w:r>
        <w:rPr>
          <w:rFonts w:ascii="等线(中文正文)" w:hAnsi="等线(中文正文)" w:cs="等线(中文正文)" w:eastAsia="等线(中文正文)"/>
          <w:b w:val="false"/>
          <w:i w:val="false"/>
          <w:sz w:val="20"/>
        </w:rPr>
        <w:t/>
      </w:r>
    </w:p>
    <w:p>
      <w:pPr>
        <w:pStyle w:val="ab"/>
      </w:pPr>
      <w:r>
        <w:t>发言人1 问：出海主题在全球化扩张方面的表现如何？</w:t>
      </w:r>
    </w:p>
    <w:p>
      <w:r>
        <w:rPr>
          <w:rFonts w:ascii="等线(中文正文)" w:hAnsi="等线(中文正文)" w:cs="等线(中文正文)" w:eastAsia="等线(中文正文)"/>
          <w:b w:val="false"/>
          <w:i w:val="false"/>
          <w:sz w:val="20"/>
        </w:rPr>
        <w:t>发言人1 答：全球化扩张节奏加快，上市公司的海外营收占比从24年的16%提升至25年的18%。其中，汽车行业是出海主力，新能源车企带动整体海外收入进一步提升。此外，半导体、通用设备、生物医药、交通运输等行业海外营收占比也有较明显的提升。整体来看，海外市场平均毛利率高于国内市场毛利率，反映了不同行业海外净利率高于国内利润率的现象。</w:t>
      </w:r>
    </w:p>
    <w:p>
      <w:r>
        <w:rPr>
          <w:rFonts w:ascii="等线(中文正文)" w:hAnsi="等线(中文正文)" w:cs="等线(中文正文)" w:eastAsia="等线(中文正文)"/>
          <w:b w:val="false"/>
          <w:i w:val="false"/>
          <w:sz w:val="20"/>
        </w:rPr>
        <w:t/>
      </w:r>
    </w:p>
    <w:p>
      <w:pPr>
        <w:pStyle w:val="ab"/>
      </w:pPr>
      <w:r>
        <w:t>发言人1 问：在海外收入占比超过50%的出口企业中，一季度的营收和盈利润率增速是如何表现的？</w:t>
      </w:r>
    </w:p>
    <w:p>
      <w:r>
        <w:rPr>
          <w:rFonts w:ascii="等线(中文正文)" w:hAnsi="等线(中文正文)" w:cs="等线(中文正文)" w:eastAsia="等线(中文正文)"/>
          <w:b w:val="false"/>
          <w:i w:val="false"/>
          <w:sz w:val="20"/>
        </w:rPr>
        <w:t>发言人1 答：这些出口企业在一季度的营收和盈利润率的增速都达到了15%到20%左右的水平，明显高于市场其他企业。</w:t>
      </w:r>
    </w:p>
    <w:p>
      <w:r>
        <w:rPr>
          <w:rFonts w:ascii="等线(中文正文)" w:hAnsi="等线(中文正文)" w:cs="等线(中文正文)" w:eastAsia="等线(中文正文)"/>
          <w:b w:val="false"/>
          <w:i w:val="false"/>
          <w:sz w:val="20"/>
        </w:rPr>
        <w:t/>
      </w:r>
    </w:p>
    <w:p>
      <w:pPr>
        <w:pStyle w:val="ab"/>
      </w:pPr>
      <w:r>
        <w:t>发言人1 问：对于现金回报的增长，主要来源是什么？</w:t>
      </w:r>
    </w:p>
    <w:p>
      <w:r>
        <w:rPr>
          <w:rFonts w:ascii="等线(中文正文)" w:hAnsi="等线(中文正文)" w:cs="等线(中文正文)" w:eastAsia="等线(中文正文)"/>
          <w:b w:val="false"/>
          <w:i w:val="false"/>
          <w:sz w:val="20"/>
        </w:rPr>
        <w:t>发言人1 答：25年的现金回报增速主要来自股息分配，而非回购。预计到26年，企业股东回报规模将创历史新高，达到3.8万亿人民币，这主要还是得益于现金分红。资本开支方面，整体维持大体不变，但存在分化，AI科技硬件资本开支提升，而部分内卷行业的资本开支下滑，这两点相互抵消。</w:t>
      </w:r>
    </w:p>
    <w:p>
      <w:r>
        <w:rPr>
          <w:rFonts w:ascii="等线(中文正文)" w:hAnsi="等线(中文正文)" w:cs="等线(中文正文)" w:eastAsia="等线(中文正文)"/>
          <w:b w:val="false"/>
          <w:i w:val="false"/>
          <w:sz w:val="20"/>
        </w:rPr>
        <w:t/>
      </w:r>
    </w:p>
    <w:p>
      <w:pPr>
        <w:pStyle w:val="ab"/>
      </w:pPr>
      <w:r>
        <w:t>发言人1 问：上市公司并购支出的情况如何？</w:t>
      </w:r>
    </w:p>
    <w:p>
      <w:r>
        <w:rPr>
          <w:rFonts w:ascii="等线(中文正文)" w:hAnsi="等线(中文正文)" w:cs="等线(中文正文)" w:eastAsia="等线(中文正文)"/>
          <w:b w:val="false"/>
          <w:i w:val="false"/>
          <w:sz w:val="20"/>
        </w:rPr>
        <w:t>发言人1 答：上市公司并购支出在25年同比增加46%，达到7000亿元水平，并且这一趋势预计在今年还会持续。同时，研发投入的增长也有所提升。</w:t>
      </w:r>
    </w:p>
    <w:p>
      <w:r>
        <w:rPr>
          <w:rFonts w:ascii="等线(中文正文)" w:hAnsi="等线(中文正文)" w:cs="等线(中文正文)" w:eastAsia="等线(中文正文)"/>
          <w:b w:val="false"/>
          <w:i w:val="false"/>
          <w:sz w:val="20"/>
        </w:rPr>
        <w:t/>
      </w:r>
    </w:p>
    <w:p>
      <w:pPr>
        <w:pStyle w:val="ab"/>
      </w:pPr>
      <w:r>
        <w:t>发言人1 问：上市公司现金分配的倾斜方向是什么？当前市场关注的核心话题有哪些？</w:t>
      </w:r>
    </w:p>
    <w:p>
      <w:r>
        <w:rPr>
          <w:rFonts w:ascii="等线(中文正文)" w:hAnsi="等线(中文正文)" w:cs="等线(中文正文)" w:eastAsia="等线(中文正文)"/>
          <w:b w:val="false"/>
          <w:i w:val="false"/>
          <w:sz w:val="20"/>
        </w:rPr>
        <w:t>发言人1 答：上市公司将更多资金用于股息派发、研发投入和并购支出。根据整理的4500份业绩会议纪要，约3/4的上市公司在沟通中提到了人工智能、芯片和机器人等相关话题。</w:t>
      </w:r>
    </w:p>
    <w:p>
      <w:r>
        <w:rPr>
          <w:rFonts w:ascii="等线(中文正文)" w:hAnsi="等线(中文正文)" w:cs="等线(中文正文)" w:eastAsia="等线(中文正文)"/>
          <w:b w:val="false"/>
          <w:i w:val="false"/>
          <w:sz w:val="20"/>
        </w:rPr>
        <w:t/>
      </w:r>
    </w:p>
    <w:p>
      <w:pPr>
        <w:pStyle w:val="ab"/>
      </w:pPr>
      <w:r>
        <w:t>发言人1 问：出海讨论的频次有何变化？高盛中国成长股组合筛选条件有哪些？</w:t>
      </w:r>
    </w:p>
    <w:p>
      <w:r>
        <w:rPr>
          <w:rFonts w:ascii="等线(中文正文)" w:hAnsi="等线(中文正文)" w:cs="等线(中文正文)" w:eastAsia="等线(中文正文)"/>
          <w:b w:val="false"/>
          <w:i w:val="false"/>
          <w:sz w:val="20"/>
        </w:rPr>
        <w:t>发言人1 答：出海讨论的频次在一些制造业和硬科技企业中显著增加，成为中长期核心战略，叠加减少关税负面影响的讨论，这可能是未来进一步提升公司盈利增速的来源。筛选条件包括短期业绩催化明确（如涨价、破产或海外放量等利好因素）、25到27年每股收益复合增长率最低要求为10%、以及26年和27年单年盈利月平均上涨幅度要求。目前组合中25只A股和港股股票过去一个月表现强劲，平均回报率约为14%，估值水平较低，约为23倍PE和1.4倍PEG。</w:t>
      </w:r>
    </w:p>
    <w:p>
      <w:r>
        <w:rPr>
          <w:rFonts w:ascii="等线(中文正文)" w:hAnsi="等线(中文正文)" w:cs="等线(中文正文)" w:eastAsia="等线(中文正文)"/>
          <w:b w:val="false"/>
          <w:i w:val="false"/>
          <w:sz w:val="20"/>
        </w:rPr>
        <w:t/>
      </w:r>
    </w:p>
    <w:p>
      <w:pPr>
        <w:pStyle w:val="ab"/>
      </w:pPr>
      <w:r>
        <w:t>发言人1 问：2025年5月份社会零售大幅度上升的原因是什么？</w:t>
      </w:r>
    </w:p>
    <w:p>
      <w:r>
        <w:rPr>
          <w:rFonts w:ascii="等线(中文正文)" w:hAnsi="等线(中文正文)" w:cs="等线(中文正文)" w:eastAsia="等线(中文正文)"/>
          <w:b w:val="false"/>
          <w:i w:val="false"/>
          <w:sz w:val="20"/>
        </w:rPr>
        <w:t>发言人1 答：去年5月份社会零售增速较高的原因主要有三个：一是以旧换新政策的影响；二是618大促使得销售数据被提振；三是劳动节和端午节落在五月份，对餐饮收入等服务相关零售销售有一定贡献。</w:t>
      </w:r>
    </w:p>
    <w:p>
      <w:r>
        <w:rPr>
          <w:rFonts w:ascii="等线(中文正文)" w:hAnsi="等线(中文正文)" w:cs="等线(中文正文)" w:eastAsia="等线(中文正文)"/>
          <w:b w:val="false"/>
          <w:i w:val="false"/>
          <w:sz w:val="20"/>
        </w:rPr>
        <w:t/>
      </w:r>
    </w:p>
    <w:p>
      <w:pPr>
        <w:pStyle w:val="ab"/>
      </w:pPr>
      <w:r>
        <w:t>发言人1 问：最近中东谈判局势变化后，高盛全球团队在大宗和外汇方面有哪些主要观点更新？</w:t>
      </w:r>
    </w:p>
    <w:p>
      <w:r>
        <w:rPr>
          <w:rFonts w:ascii="等线(中文正文)" w:hAnsi="等线(中文正文)" w:cs="等线(中文正文)" w:eastAsia="等线(中文正文)"/>
          <w:b w:val="false"/>
          <w:i w:val="false"/>
          <w:sz w:val="20"/>
        </w:rPr>
        <w:t>发言人1 答：目前团队的主要更新是对于美国的观点有一些变化，以及降低了油价预测。具体来说，由于上周的FOMC会议中新德联主席的首秀表现等因素，对未来的市场看法有所调整。</w:t>
      </w:r>
    </w:p>
    <w:p>
      <w:r>
        <w:rPr>
          <w:rFonts w:ascii="等线(中文正文)" w:hAnsi="等线(中文正文)" w:cs="等线(中文正文)" w:eastAsia="等线(中文正文)"/>
          <w:b w:val="false"/>
          <w:i w:val="false"/>
          <w:sz w:val="20"/>
        </w:rPr>
        <w:t/>
      </w:r>
    </w:p>
    <w:p>
      <w:pPr>
        <w:pStyle w:val="ab"/>
      </w:pPr>
      <w:r>
        <w:t>发言人1 问：高盛对于今年加息的概率是如何看待的？</w:t>
      </w:r>
    </w:p>
    <w:p>
      <w:r>
        <w:rPr>
          <w:rFonts w:ascii="等线(中文正文)" w:hAnsi="等线(中文正文)" w:cs="等线(中文正文)" w:eastAsia="等线(中文正文)"/>
          <w:b w:val="false"/>
          <w:i w:val="false"/>
          <w:sz w:val="20"/>
        </w:rPr>
        <w:t>发言人1 答：高盛认为今年加息的概率在提高，但并非base case。点阵图的变化显示较为鹰派，上调了全年对于核心CPOPC的预测和今年利率的更新。不过，考虑到美伊之间可能达成的协议导致油价下行，通胀存在下行风险，当前点阵图的结果可能已滞后于实际情况。</w:t>
      </w:r>
    </w:p>
    <w:p>
      <w:r>
        <w:rPr>
          <w:rFonts w:ascii="等线(中文正文)" w:hAnsi="等线(中文正文)" w:cs="等线(中文正文)" w:eastAsia="等线(中文正文)"/>
          <w:b w:val="false"/>
          <w:i w:val="false"/>
          <w:sz w:val="20"/>
        </w:rPr>
        <w:t/>
      </w:r>
    </w:p>
    <w:p>
      <w:pPr>
        <w:pStyle w:val="ab"/>
      </w:pPr>
      <w:r>
        <w:t>发言人1 问：对于油价预测及风险有哪些看法？</w:t>
      </w:r>
    </w:p>
    <w:p>
      <w:r>
        <w:rPr>
          <w:rFonts w:ascii="等线(中文正文)" w:hAnsi="等线(中文正文)" w:cs="等线(中文正文)" w:eastAsia="等线(中文正文)"/>
          <w:b w:val="false"/>
          <w:i w:val="false"/>
          <w:sz w:val="20"/>
        </w:rPr>
        <w:t>发言人1 答：根据最新预测，预计今年四季度布伦特油价将从90美元每桶降至80美元，明年平均价格进一步降至75美元。存在上行风险，如美伊谈判破裂，但也有下行风险，比如中国电动汽车发展和海湾地区供应增加。</w:t>
      </w:r>
    </w:p>
    <w:p>
      <w:r>
        <w:rPr>
          <w:rFonts w:ascii="等线(中文正文)" w:hAnsi="等线(中文正文)" w:cs="等线(中文正文)" w:eastAsia="等线(中文正文)"/>
          <w:b w:val="false"/>
          <w:i w:val="false"/>
          <w:sz w:val="20"/>
        </w:rPr>
        <w:t/>
      </w:r>
    </w:p>
    <w:p>
      <w:pPr>
        <w:pStyle w:val="ab"/>
      </w:pPr>
      <w:r>
        <w:t>发言人1 问：黄金价格预测为何下调？</w:t>
      </w:r>
    </w:p>
    <w:p>
      <w:r>
        <w:rPr>
          <w:rFonts w:ascii="等线(中文正文)" w:hAnsi="等线(中文正文)" w:cs="等线(中文正文)" w:eastAsia="等线(中文正文)"/>
          <w:b w:val="false"/>
          <w:i w:val="false"/>
          <w:sz w:val="20"/>
        </w:rPr>
        <w:t>发言人1 答：黄金价格预测从年底5400美元/盎司降至4900美元，主要是由于联储局表现出更加强烈的决心维护央行独立性，减少了市场对黄金作为避险资产的需求。不过，中长期仍看好黄金价格上涨趋势。</w:t>
      </w:r>
    </w:p>
    <w:p>
      <w:r>
        <w:rPr>
          <w:rFonts w:ascii="等线(中文正文)" w:hAnsi="等线(中文正文)" w:cs="等线(中文正文)" w:eastAsia="等线(中文正文)"/>
          <w:b w:val="false"/>
          <w:i w:val="false"/>
          <w:sz w:val="20"/>
        </w:rPr>
        <w:t/>
      </w:r>
    </w:p>
    <w:p>
      <w:pPr>
        <w:pStyle w:val="ab"/>
      </w:pPr>
      <w:r>
        <w:t>发言人1 问：港股是否已到底部，何时能看到翻转机会？</w:t>
      </w:r>
    </w:p>
    <w:p>
      <w:r>
        <w:rPr>
          <w:rFonts w:ascii="等线(中文正文)" w:hAnsi="等线(中文正文)" w:cs="等线(中文正文)" w:eastAsia="等线(中文正文)"/>
          <w:b w:val="false"/>
          <w:i w:val="false"/>
          <w:sz w:val="20"/>
        </w:rPr>
        <w:t>发言人1 答：自去年10月份以来，MSCI指数（以港股为主）已经下滑了约20个点，进入技术性下跌区间。目前估值水平相比历史分位数较低，但由于盈利趋势集中在硬科技板块，且机会成本较高，预计在8月底的港股业绩期后，尤其是三季度和四季度盈利增速可能转正时，可以关注市场布局机会。</w:t>
      </w:r>
    </w:p>
    <w:p>
      <w:r>
        <w:rPr>
          <w:rFonts w:ascii="等线(中文正文)" w:hAnsi="等线(中文正文)" w:cs="等线(中文正文)" w:eastAsia="等线(中文正文)"/>
          <w:b w:val="false"/>
          <w:i w:val="false"/>
          <w:sz w:val="20"/>
        </w:rPr>
        <w:t/>
      </w:r>
    </w:p>
    <w:p>
      <w:pPr>
        <w:pStyle w:val="ab"/>
      </w:pPr>
      <w:r>
        <w:t>发言人1 问：关于修复居民资产负债表的措施及意义是什么？</w:t>
      </w:r>
    </w:p>
    <w:p>
      <w:r>
        <w:rPr>
          <w:rFonts w:ascii="等线(中文正文)" w:hAnsi="等线(中文正文)" w:cs="等线(中文正文)" w:eastAsia="等线(中文正文)"/>
          <w:b w:val="false"/>
          <w:i w:val="false"/>
          <w:sz w:val="20"/>
        </w:rPr>
        <w:t>发言人1 答：修复居民资产负债表主要是为了提振消费，因为今年消费疲弱，而居民资产中地产占据一半比例。修复房市企稳并培养多渠道收入是关键，这代表了政府希望通过稳住楼市和股市来增强居民消费能力，从而促进整体消费增长。</w:t>
      </w:r>
    </w:p>
    <w:p>
      <w:r>
        <w:rPr>
          <w:rFonts w:ascii="等线(中文正文)" w:hAnsi="等线(中文正文)" w:cs="等线(中文正文)" w:eastAsia="等线(中文正文)"/>
          <w:b w:val="false"/>
          <w:i w:val="false"/>
          <w:sz w:val="20"/>
        </w:rPr>
        <w:t/>
      </w:r>
    </w:p>
    <w:p>
      <w:pPr>
        <w:pStyle w:val="ab"/>
      </w:pPr>
      <w:r>
        <w:t>发言人1 问：未来半年A股指数相对强弱如何看，国家队可能的加仓条件是什么？</w:t>
      </w:r>
    </w:p>
    <w:p>
      <w:r>
        <w:rPr>
          <w:rFonts w:ascii="等线(中文正文)" w:hAnsi="等线(中文正文)" w:cs="等线(中文正文)" w:eastAsia="等线(中文正文)"/>
          <w:b w:val="false"/>
          <w:i w:val="false"/>
          <w:sz w:val="20"/>
        </w:rPr>
        <w:t>发言人1 答：预计未来一段时间内，科技类指数如创业板和双创指数会明显强于沪深300等大盘指数。盈利增速是决定指数表现的关键因素，科创板和创业板全年预期盈利增速较高。对于国家队而言，近期高频数据显示其仍在减仓，未来加仓意愿不强，主要影响可能偏向于大盘指数，对科创类指数影响较小。</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2026-06-28T02:53:14Z</dcterms:created>
  <dc:creator>Apache POI</dc:creator>
</cp:coreProperties>
</file>