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摩根士丹利】韩国家庭资产由地产转向股市催生强财富效应、中国经济二季度筑底下半年温和修复、美联储鹰派政策对亚洲冲击有限、区域加息节奏、中国台湾地区与日韩消费薪资差异及各经济体中长期经济结构性约束全景分析_导读</w:t>
      </w:r>
    </w:p>
    <w:p>
      <w:pPr>
        <w:pStyle w:val="a0"/>
        <w:jc w:val="center"/>
      </w:pPr>
      <w:r>
        <w:t>2026年06月28日 10:34</w:t>
      </w:r>
    </w:p>
    <w:p>
      <w:pPr>
        <w:pStyle w:val="a7"/>
      </w:pPr>
      <w:r>
        <w:t>关键词</w:t>
      </w:r>
    </w:p>
    <w:p>
      <w:r>
        <w:rPr>
          <w:rFonts w:ascii="等线(中文正文)" w:hAnsi="等线(中文正文)" w:cs="等线(中文正文)" w:eastAsia="等线(中文正文)"/>
          <w:b w:val="false"/>
          <w:i w:val="false"/>
          <w:sz w:val="20"/>
        </w:rPr>
        <w:t xml:space="preserve">term data wage growth financial assets PPI inflation BOK GDP consumption recovery household policy wealth shift fiscal story equity investments retail sales 关注公众号 housing sector china wage growth target underlying inflation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在讨论中，韩国经济在2023年第一季度展现出了服务业和制造业的显著增长，特别是在教育、艺术、住宿、批发与零售业等领域。这种增长不仅推动了工资水平的提升，也对通货膨胀产生了影响。韩国经济从财富效应和财政政策中快速恢复，与日本和台湾相比，服务和建设部门的工资增长更为显著，预示着未来可能的更高通胀压力。此外，台湾的经济动态和工资增长故事则可能不如韩国那么突出。
对话还关注了中国近期经济动态，特别是PPI上升是否标志着经济“重振”的问题。分析认为，当前的PPI上涨主要由供给因素驱动，而非需求拉动，因此不认为这是中国经济强劲复苏的标志。讨论强调了中国面临的结构性挑战，包括人口老龄化、房地产市场和高储蓄率问题，以及政策调整的必要性，特别是在基础设施投资和能源结构转型方面，以支持经济增长和应对挑战。
整体而言，讨论涵盖了韩国和中国的经济动态、政策响应及对未来的展望，凸显了转型过程中的机遇与挑战。</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亚洲经济现状与韩国散户投资者趋势分析</w:t>
      </w:r>
    </w:p>
    <w:p>
      <w:r>
        <w:rPr>
          <w:rFonts w:ascii="等线(中文正文)" w:hAnsi="等线(中文正文)" w:cs="等线(中文正文)" w:eastAsia="等线(中文正文)"/>
          <w:b w:val="false"/>
          <w:i w:val="false"/>
          <w:sz w:val="20"/>
        </w:rPr>
        <w:t>本次网络研讨会聚焦于亚洲经济现状，特别关注韩国散户投资者参与度提升的现象。会议提及了家庭资产配置的变化，并讨论了这一趋势的可持续性。演讲者还提到了中国和台湾的经济状况，以及当前经济环境下可能存在的风险与机遇。与会者被邀请通过问答环节参与讨论。</w:t>
      </w:r>
    </w:p>
    <w:p>
      <w:r>
        <w:rPr>
          <w:rFonts w:ascii="等线(中文正文)" w:hAnsi="等线(中文正文)" w:cs="等线(中文正文)" w:eastAsia="等线(中文正文)"/>
          <w:b w:val="false"/>
          <w:i w:val="false"/>
          <w:sz w:val="20"/>
        </w:rPr>
        <w:t/>
      </w:r>
    </w:p>
    <w:p>
      <w:pPr>
        <w:pStyle w:val="ab"/>
        <w:numPr>
          <w:numId w:val="2"/>
        </w:numPr>
      </w:pPr>
      <w:r>
        <w:t>00:54 韩国家庭资产从房地产转向股市的重大转变</w:t>
      </w:r>
    </w:p>
    <w:p>
      <w:r>
        <w:rPr>
          <w:rFonts w:ascii="等线(中文正文)" w:hAnsi="等线(中文正文)" w:cs="等线(中文正文)" w:eastAsia="等线(中文正文)"/>
          <w:b w:val="false"/>
          <w:i w:val="false"/>
          <w:sz w:val="20"/>
        </w:rPr>
        <w:t>韩国家庭财富过去主要集中在房地产，但自2025年起，政府推动的股市提振措施，结合科技股的强劲表现和房地产市场紧缩，促使家庭资产开始向股市转移。数据显示，2025年家庭股权投资增长了48%，远超历史平均7.4%的年增长率，股权在家庭金融资产中的占比从20%升至26%。这一结构性变化标志着韩国家庭财富配置方式的根本转变。</w:t>
      </w:r>
    </w:p>
    <w:p>
      <w:r>
        <w:rPr>
          <w:rFonts w:ascii="等线(中文正文)" w:hAnsi="等线(中文正文)" w:cs="等线(中文正文)" w:eastAsia="等线(中文正文)"/>
          <w:b w:val="false"/>
          <w:i w:val="false"/>
          <w:sz w:val="20"/>
        </w:rPr>
        <w:t/>
      </w:r>
    </w:p>
    <w:p>
      <w:pPr>
        <w:pStyle w:val="ab"/>
        <w:numPr>
          <w:numId w:val="3"/>
        </w:numPr>
      </w:pPr>
      <w:r>
        <w:t>04:45 韩国股市投资激增对经济的影响分析</w:t>
      </w:r>
    </w:p>
    <w:p>
      <w:r>
        <w:rPr>
          <w:rFonts w:ascii="等线(中文正文)" w:hAnsi="等线(中文正文)" w:cs="等线(中文正文)" w:eastAsia="等线(中文正文)"/>
          <w:b w:val="false"/>
          <w:i w:val="false"/>
          <w:sz w:val="20"/>
        </w:rPr>
        <w:t>韩国股市投资在过去十年中显著增加，占家庭总资产的比例可能超过30%。这一变化预计会通过财富效应促进消费，尤其是年轻投资者的参与，预计将带来比以往更大的消费溢出效应。同时，家庭部门的金融不平衡可能得到缓解，收入来源也更加多元化，降低了对劳动力市场的依赖。然而，更高的市场波动性暴露和对金融条件的敏感性可能成为潜在风险。从货币政策角度看，这一趋势可能加剧通胀压力，支持更激进的加息周期。尽管存在风险，但整体上对金融稳定和经济活动有积极影响。</w:t>
      </w:r>
    </w:p>
    <w:p>
      <w:r>
        <w:rPr>
          <w:rFonts w:ascii="等线(中文正文)" w:hAnsi="等线(中文正文)" w:cs="等线(中文正文)" w:eastAsia="等线(中文正文)"/>
          <w:b w:val="false"/>
          <w:i w:val="false"/>
          <w:sz w:val="20"/>
        </w:rPr>
        <w:t/>
      </w:r>
    </w:p>
    <w:p>
      <w:pPr>
        <w:pStyle w:val="ab"/>
        <w:numPr>
          <w:numId w:val="4"/>
        </w:numPr>
      </w:pPr>
      <w:r>
        <w:t>11:21 中国再通胀故事：需求驱动还是结构性挑战？</w:t>
      </w:r>
    </w:p>
    <w:p>
      <w:r>
        <w:rPr>
          <w:rFonts w:ascii="等线(中文正文)" w:hAnsi="等线(中文正文)" w:cs="等线(中文正文)" w:eastAsia="等线(中文正文)"/>
          <w:b w:val="false"/>
          <w:i w:val="false"/>
          <w:sz w:val="20"/>
        </w:rPr>
        <w:t>讨论了中国PPI通胀上升是否预示经济再通胀的问题。分析指出，尽管出口强劲可能推高企业利润率和工资增长，但结构性问题如农村人口减少、房产市场状况和高储蓄率，以及投资驱动的增长模式，限制了通胀达到可持续水平的可能性。</w:t>
      </w:r>
    </w:p>
    <w:p>
      <w:r>
        <w:rPr>
          <w:rFonts w:ascii="等线(中文正文)" w:hAnsi="等线(中文正文)" w:cs="等线(中文正文)" w:eastAsia="等线(中文正文)"/>
          <w:b w:val="false"/>
          <w:i w:val="false"/>
          <w:sz w:val="20"/>
        </w:rPr>
        <w:t/>
      </w:r>
    </w:p>
    <w:p>
      <w:pPr>
        <w:pStyle w:val="ab"/>
        <w:numPr>
          <w:numId w:val="5"/>
        </w:numPr>
      </w:pPr>
      <w:r>
        <w:t>16:46 中国4月和5月经济数据解读及政策展望</w:t>
      </w:r>
    </w:p>
    <w:p>
      <w:r>
        <w:rPr>
          <w:rFonts w:ascii="等线(中文正文)" w:hAnsi="等线(中文正文)" w:cs="等线(中文正文)" w:eastAsia="等线(中文正文)"/>
          <w:b w:val="false"/>
          <w:i w:val="false"/>
          <w:sz w:val="20"/>
        </w:rPr>
        <w:t>讨论了中国4月和5月经济数据，指出零售销售虽转负，但剔除政策影响后表现稳定。固定资产投资放缓，可能与政策调整和数据前置有关。油品消费下降，但国内活动相对隔离于能源冲击，通过需求替代和商业库存调整应对。总体评估国内经济虽有降温但未崩溃，政策制定者保持冷静，但需加快调整以应对经济放缓。</w:t>
      </w:r>
    </w:p>
    <w:p>
      <w:r>
        <w:rPr>
          <w:rFonts w:ascii="等线(中文正文)" w:hAnsi="等线(中文正文)" w:cs="等线(中文正文)" w:eastAsia="等线(中文正文)"/>
          <w:b w:val="false"/>
          <w:i w:val="false"/>
          <w:sz w:val="20"/>
        </w:rPr>
        <w:t/>
      </w:r>
    </w:p>
    <w:p>
      <w:pPr>
        <w:pStyle w:val="ab"/>
        <w:numPr>
          <w:numId w:val="6"/>
        </w:numPr>
      </w:pPr>
      <w:r>
        <w:t>21:43 中国投资策略与经济增长预测</w:t>
      </w:r>
    </w:p>
    <w:p>
      <w:r>
        <w:rPr>
          <w:rFonts w:ascii="等线(中文正文)" w:hAnsi="等线(中文正文)" w:cs="等线(中文正文)" w:eastAsia="等线(中文正文)"/>
          <w:b w:val="false"/>
          <w:i w:val="false"/>
          <w:sz w:val="20"/>
        </w:rPr>
        <w:t>对话分析了中国过去几年经济增长的模式，强调了北京政策在实现增长目标与处理遗留风险之间的平衡。预计第二季度增长将放缓，而下半年投资需求将稳定，重点在于战略基础设施建设。讨论了财政工具如政策银行债券的潜在作用，以及这些因素如何影响未来经济增长预测至4.7-4.8%。政策调整更侧重于微调而非剧烈变动。</w:t>
      </w:r>
    </w:p>
    <w:p>
      <w:r>
        <w:rPr>
          <w:rFonts w:ascii="等线(中文正文)" w:hAnsi="等线(中文正文)" w:cs="等线(中文正文)" w:eastAsia="等线(中文正文)"/>
          <w:b w:val="false"/>
          <w:i w:val="false"/>
          <w:sz w:val="20"/>
        </w:rPr>
        <w:t/>
      </w:r>
    </w:p>
    <w:p>
      <w:pPr>
        <w:pStyle w:val="ab"/>
        <w:numPr>
          <w:numId w:val="7"/>
        </w:numPr>
      </w:pPr>
      <w:r>
        <w:t>25:14 亚洲地区消费与工资增长趋势分析</w:t>
      </w:r>
    </w:p>
    <w:p>
      <w:r>
        <w:rPr>
          <w:rFonts w:ascii="等线(中文正文)" w:hAnsi="等线(中文正文)" w:cs="等线(中文正文)" w:eastAsia="等线(中文正文)"/>
          <w:b w:val="false"/>
          <w:i w:val="false"/>
          <w:sz w:val="20"/>
        </w:rPr>
        <w:t>讨论了韩国和台湾的消费恢复与工资增长情况，指出韩国消费恢复得益于财富效应与政府财政支持，尤其是服务部门工资增长显著，而台湾的消费复苏虽有财政刺激，但受制于科技产业主导经济结构，工资增长效应相对有限。</w:t>
      </w:r>
    </w:p>
    <w:p>
      <w:r>
        <w:rPr>
          <w:rFonts w:ascii="等线(中文正文)" w:hAnsi="等线(中文正文)" w:cs="等线(中文正文)" w:eastAsia="等线(中文正文)"/>
          <w:b w:val="false"/>
          <w:i w:val="false"/>
          <w:sz w:val="20"/>
        </w:rPr>
        <w:t/>
      </w:r>
    </w:p>
    <w:p>
      <w:pPr>
        <w:pStyle w:val="ab"/>
        <w:numPr>
          <w:numId w:val="8"/>
        </w:numPr>
      </w:pPr>
      <w:r>
        <w:t>33:07 亚洲经济面对鹰派利率叙事的韧性分析</w:t>
      </w:r>
    </w:p>
    <w:p>
      <w:r>
        <w:rPr>
          <w:rFonts w:ascii="等线(中文正文)" w:hAnsi="等线(中文正文)" w:cs="等线(中文正文)" w:eastAsia="等线(中文正文)"/>
          <w:b w:val="false"/>
          <w:i w:val="false"/>
          <w:sz w:val="20"/>
        </w:rPr>
        <w:t>对话讨论了在鹰派利率叙事下，亚洲经济体尤其是非中国区域的经济韧性。指出由于亚洲出口增长强劲，且经济周期从科技扩展至非科技领域，亚洲经济体能有效应对美联储加息带来的压力。亚洲央行，除中国外，将根据各自经济状况适时上调利率，预计韩国将是下一个加息的国家。整体而言，亚洲经济体在当前环境下展现出较强的抗压能力。</w:t>
      </w:r>
    </w:p>
    <w:p>
      <w:r>
        <w:rPr>
          <w:rFonts w:ascii="等线(中文正文)" w:hAnsi="等线(中文正文)" w:cs="等线(中文正文)" w:eastAsia="等线(中文正文)"/>
          <w:b w:val="false"/>
          <w:i w:val="false"/>
          <w:sz w:val="20"/>
        </w:rPr>
        <w:t/>
      </w:r>
    </w:p>
    <w:p>
      <w:pPr>
        <w:pStyle w:val="ab"/>
        <w:numPr>
          <w:numId w:val="9"/>
        </w:numPr>
      </w:pPr>
      <w:r>
        <w:t>35:08 中国工资增长趋势与AI影响分析</w:t>
      </w:r>
    </w:p>
    <w:p>
      <w:r>
        <w:rPr>
          <w:rFonts w:ascii="等线(中文正文)" w:hAnsi="等线(中文正文)" w:cs="等线(中文正文)" w:eastAsia="等线(中文正文)"/>
          <w:b w:val="false"/>
          <w:i w:val="false"/>
          <w:sz w:val="20"/>
        </w:rPr>
        <w:t>讨论了中国长期工资增长趋势，指出其与名义GDP目标基本一致，但AI扩散可能引起K型复苏和劳动力位移效应，导致劳动份额轻微下降。预计短期内政策将侧重硬科技领域，同时通过政策干预改善服务行业供需失衡，但AI融合趋势难以逆转，需承担部分就业成本。未来政策需平衡中美竞争背景下的AI发展与社会影响。</w:t>
      </w:r>
    </w:p>
    <w:p>
      <w:r>
        <w:rPr>
          <w:rFonts w:ascii="等线(中文正文)" w:hAnsi="等线(中文正文)" w:cs="等线(中文正文)" w:eastAsia="等线(中文正文)"/>
          <w:b w:val="false"/>
          <w:i w:val="false"/>
          <w:sz w:val="20"/>
        </w:rPr>
        <w:t/>
      </w:r>
    </w:p>
    <w:p>
      <w:pPr>
        <w:pStyle w:val="a7"/>
      </w:pPr>
      <w:r>
        <w:t>发言总结</w:t>
      </w:r>
    </w:p>
    <w:p>
      <w:pPr>
        <w:pStyle w:val="ab"/>
        <w:numPr>
          <w:numId w:val="10"/>
        </w:numPr>
      </w:pPr>
      <w:r>
        <w:t>发言人1</w:t>
      </w:r>
    </w:p>
    <w:p>
      <w:r>
        <w:rPr>
          <w:rFonts w:ascii="等线(中文正文)" w:hAnsi="等线(中文正文)" w:cs="等线(中文正文)" w:eastAsia="等线(中文正文)"/>
          <w:b w:val="false"/>
          <w:i w:val="false"/>
          <w:sz w:val="20"/>
        </w:rPr>
        <w:t>首先对会议表示欢迎，并介绍了即将举行的现代亚洲经济网络研讨会。他强调，研讨会讨论的重点之一是韩国散户投资者参与度的增加及其对家庭资产配置、经济及政策的重要影响。讨论揭示了韩国家庭资产从存款和实物资产向主动投资的转变，指出这一结构性转变对经济产生了显著影响。此外，他还提到了中国和日本经济的最新动态，包括通胀、消费恢复及政策应对等议题，深入分析了亚洲经济面临的挑战与机遇，并对这些国家的未来经济趋势做出了预测。
关于韩国经济，他指出可能需要额外补充预算以支持经济中的孤立部门，尤其是科技出口部门。他们还关注了住房部门的底层问题，并提到财政支持有助于消费复苏。工资增长的扩展到国内其他部门，尤其是服务业，是第一季度显著的名义工资增长达到11%的原因之一，反映了制造业及其他服务和建筑部门的增长。比较台湾和日本，他认为韩国的消费恢复速度更快，特别是在工资增长和财政故事方面。讨论转向中国时，他强调了科技进步和财政政策在促进经济增长和工资增长方面的作用，并探讨了亚洲经济体在面对美国货币政策收紧时可能采取的措施。</w:t>
      </w:r>
    </w:p>
    <w:p>
      <w:r>
        <w:rPr>
          <w:rFonts w:ascii="等线(中文正文)" w:hAnsi="等线(中文正文)" w:cs="等线(中文正文)" w:eastAsia="等线(中文正文)"/>
          <w:b w:val="false"/>
          <w:i w:val="false"/>
          <w:sz w:val="20"/>
        </w:rPr>
        <w:t/>
      </w:r>
    </w:p>
    <w:p>
      <w:pPr>
        <w:pStyle w:val="a7"/>
      </w:pPr>
      <w:r>
        <w:t>要点回顾</w:t>
      </w:r>
    </w:p>
    <w:p>
      <w:pPr>
        <w:pStyle w:val="ab"/>
      </w:pPr>
      <w:r>
        <w:t>What is the main focus of the session mentioned in the transcript?</w:t>
      </w:r>
    </w:p>
    <w:p>
      <w:r>
        <w:rPr>
          <w:rFonts w:ascii="等线(中文正文)" w:hAnsi="等线(中文正文)" w:cs="等线(中文正文)" w:eastAsia="等线(中文正文)"/>
          <w:b w:val="false"/>
          <w:i w:val="false"/>
          <w:sz w:val="20"/>
        </w:rPr>
        <w:t>发言人1：The main focus of the session is on the household asset shift in Korea, specifically the movement of funds from deposits and potentially real assets into active investments.</w:t>
      </w:r>
    </w:p>
    <w:p>
      <w:r>
        <w:rPr>
          <w:rFonts w:ascii="等线(中文正文)" w:hAnsi="等线(中文正文)" w:cs="等线(中文正文)" w:eastAsia="等线(中文正文)"/>
          <w:b w:val="false"/>
          <w:i w:val="false"/>
          <w:sz w:val="20"/>
        </w:rPr>
        <w:t/>
      </w:r>
    </w:p>
    <w:p>
      <w:pPr>
        <w:pStyle w:val="ab"/>
      </w:pPr>
      <w:r>
        <w:t>How is the composition of household wealth changing in Korea?</w:t>
      </w:r>
    </w:p>
    <w:p>
      <w:r>
        <w:rPr>
          <w:rFonts w:ascii="等线(中文正文)" w:hAnsi="等线(中文正文)" w:cs="等线(中文正文)" w:eastAsia="等线(中文正文)"/>
          <w:b w:val="false"/>
          <w:i w:val="false"/>
          <w:sz w:val="20"/>
        </w:rPr>
        <w:t>发言人1：Household wealth in Korea is changing by shifting away from financial assets towards real estate, with the latter comprising the majority of household assets.</w:t>
      </w:r>
    </w:p>
    <w:p>
      <w:r>
        <w:rPr>
          <w:rFonts w:ascii="等线(中文正文)" w:hAnsi="等线(中文正文)" w:cs="等线(中文正文)" w:eastAsia="等线(中文正文)"/>
          <w:b w:val="false"/>
          <w:i w:val="false"/>
          <w:sz w:val="20"/>
        </w:rPr>
        <w:t/>
      </w:r>
    </w:p>
    <w:p>
      <w:pPr>
        <w:pStyle w:val="ab"/>
      </w:pPr>
      <w:r>
        <w:t>What are the key drivers behind the shift in household assets towards equities in Korea?</w:t>
      </w:r>
    </w:p>
    <w:p>
      <w:r>
        <w:rPr>
          <w:rFonts w:ascii="等线(中文正文)" w:hAnsi="等线(中文正文)" w:cs="等线(中文正文)" w:eastAsia="等线(中文正文)"/>
          <w:b w:val="false"/>
          <w:i w:val="false"/>
          <w:sz w:val="20"/>
        </w:rPr>
        <w:t>发言人1：The key drivers behind the shift include government measures to boost the equity market, the tech super cycle, and tightening measures in the real estate market, which have made real estate less of a preferred retirement savings option.</w:t>
      </w:r>
    </w:p>
    <w:p>
      <w:r>
        <w:rPr>
          <w:rFonts w:ascii="等线(中文正文)" w:hAnsi="等线(中文正文)" w:cs="等线(中文正文)" w:eastAsia="等线(中文正文)"/>
          <w:b w:val="false"/>
          <w:i w:val="false"/>
          <w:sz w:val="20"/>
        </w:rPr>
        <w:t/>
      </w:r>
    </w:p>
    <w:p>
      <w:pPr>
        <w:pStyle w:val="ab"/>
      </w:pPr>
      <w:r>
        <w:t>What is the anticipated impact of the shift towards equities on the Korean economy?</w:t>
      </w:r>
    </w:p>
    <w:p>
      <w:r>
        <w:rPr>
          <w:rFonts w:ascii="等线(中文正文)" w:hAnsi="等线(中文正文)" w:cs="等线(中文正文)" w:eastAsia="等线(中文正文)"/>
          <w:b w:val="false"/>
          <w:i w:val="false"/>
          <w:sz w:val="20"/>
        </w:rPr>
        <w:t>发言人1：The anticipated impact on the Korean economy includes a potential amplified positive wealth effect on consumption and a reduction in financial imbalances, as well as diversified household income channels beyond labor income.</w:t>
      </w:r>
    </w:p>
    <w:p>
      <w:r>
        <w:rPr>
          <w:rFonts w:ascii="等线(中文正文)" w:hAnsi="等线(中文正文)" w:cs="等线(中文正文)" w:eastAsia="等线(中文正文)"/>
          <w:b w:val="false"/>
          <w:i w:val="false"/>
          <w:sz w:val="20"/>
        </w:rPr>
        <w:t/>
      </w:r>
    </w:p>
    <w:p>
      <w:pPr>
        <w:pStyle w:val="ab"/>
      </w:pPr>
      <w:r>
        <w:t>What potential risks or negative impacts could arise from the increased exposure to market volatility due to equity investments?</w:t>
      </w:r>
    </w:p>
    <w:p>
      <w:r>
        <w:rPr>
          <w:rFonts w:ascii="等线(中文正文)" w:hAnsi="等线(中文正文)" w:cs="等线(中文正文)" w:eastAsia="等线(中文正文)"/>
          <w:b w:val="false"/>
          <w:i w:val="false"/>
          <w:sz w:val="20"/>
        </w:rPr>
        <w:t>发言人1：The potential risks include a 'reverse wealth effect' in case of large market volatility and increased sensitivity to financial conditions, which could adversely affect the household sector.</w:t>
      </w:r>
    </w:p>
    <w:p>
      <w:r>
        <w:rPr>
          <w:rFonts w:ascii="等线(中文正文)" w:hAnsi="等线(中文正文)" w:cs="等线(中文正文)" w:eastAsia="等线(中文正文)"/>
          <w:b w:val="false"/>
          <w:i w:val="false"/>
          <w:sz w:val="20"/>
        </w:rPr>
        <w:t/>
      </w:r>
    </w:p>
    <w:p>
      <w:pPr>
        <w:pStyle w:val="ab"/>
      </w:pPr>
      <w:r>
        <w:t>What could the increased government market activity indicate about the potential for inflation?</w:t>
      </w:r>
    </w:p>
    <w:p>
      <w:r>
        <w:rPr>
          <w:rFonts w:ascii="等线(中文正文)" w:hAnsi="等线(中文正文)" w:cs="等线(中文正文)" w:eastAsia="等线(中文正文)"/>
          <w:b w:val="false"/>
          <w:i w:val="false"/>
          <w:sz w:val="20"/>
        </w:rPr>
        <w:t>发言人1：The increased government market activity poses a potential increase in distrusted factors in management and could indicate a more inflationary monetary policy, which might induce more consumption activities and wealth effects, leading to a prolonged hiking cycle and supports an aggressive hiking cycle compared to the consensus.</w:t>
      </w:r>
    </w:p>
    <w:p>
      <w:r>
        <w:rPr>
          <w:rFonts w:ascii="等线(中文正文)" w:hAnsi="等线(中文正文)" w:cs="等线(中文正文)" w:eastAsia="等线(中文正文)"/>
          <w:b w:val="false"/>
          <w:i w:val="false"/>
          <w:sz w:val="20"/>
        </w:rPr>
        <w:t/>
      </w:r>
    </w:p>
    <w:p>
      <w:pPr>
        <w:pStyle w:val="ab"/>
      </w:pPr>
      <w:r>
        <w:t>What impact might the real estate market have on financial stability and the BOK's management of household debt?</w:t>
      </w:r>
    </w:p>
    <w:p>
      <w:r>
        <w:rPr>
          <w:rFonts w:ascii="等线(中文正文)" w:hAnsi="等线(中文正文)" w:cs="等线(中文正文)" w:eastAsia="等线(中文正文)"/>
          <w:b w:val="false"/>
          <w:i w:val="false"/>
          <w:sz w:val="20"/>
        </w:rPr>
        <w:t>发言人1：The stress on assets in the real estate market could be transferred to the financial asset side, potentially减轻BOK's pressure in managing household debt, with a potential slower growth rate and the possibility of investment activities even with further capital flows into acquiring investments versus real estate.</w:t>
      </w:r>
    </w:p>
    <w:p>
      <w:r>
        <w:rPr>
          <w:rFonts w:ascii="等线(中文正文)" w:hAnsi="等线(中文正文)" w:cs="等线(中文正文)" w:eastAsia="等线(中文正文)"/>
          <w:b w:val="false"/>
          <w:i w:val="false"/>
          <w:sz w:val="20"/>
        </w:rPr>
        <w:t/>
      </w:r>
    </w:p>
    <w:p>
      <w:pPr>
        <w:pStyle w:val="ab"/>
      </w:pPr>
      <w:r>
        <w:t>What are the key indicators to consider when assessing the sustainability of China's reflation story?</w:t>
      </w:r>
    </w:p>
    <w:p>
      <w:r>
        <w:rPr>
          <w:rFonts w:ascii="等线(中文正文)" w:hAnsi="等线(中文正文)" w:cs="等线(中文正文)" w:eastAsia="等线(中文正文)"/>
          <w:b w:val="false"/>
          <w:i w:val="false"/>
          <w:sz w:val="20"/>
        </w:rPr>
        <w:t>发言人1：To assess the sustainability of China's reflation story, the key indicators considered alongside PPI inflation include the performance of the non-commodity corporate sector margins, wage growth, and retail sales improvement, which would reflect a true demand-driven rise in inflation.</w:t>
      </w:r>
    </w:p>
    <w:p>
      <w:r>
        <w:rPr>
          <w:rFonts w:ascii="等线(中文正文)" w:hAnsi="等线(中文正文)" w:cs="等线(中文正文)" w:eastAsia="等线(中文正文)"/>
          <w:b w:val="false"/>
          <w:i w:val="false"/>
          <w:sz w:val="20"/>
        </w:rPr>
        <w:t/>
      </w:r>
    </w:p>
    <w:p>
      <w:pPr>
        <w:pStyle w:val="ab"/>
      </w:pPr>
      <w:r>
        <w:t>Is the recent rise in PPI a sign that China is experiencing inflation, and what does the current data suggest?</w:t>
      </w:r>
    </w:p>
    <w:p>
      <w:r>
        <w:rPr>
          <w:rFonts w:ascii="等线(中文正文)" w:hAnsi="等线(中文正文)" w:cs="等线(中文正文)" w:eastAsia="等线(中文正文)"/>
          <w:b w:val="false"/>
          <w:i w:val="false"/>
          <w:sz w:val="20"/>
        </w:rPr>
        <w:t>发言人1：The recent rise in PPI is not yet a sign that China is experiencing inflation as producer prices are moving in the opposite direction. The answer is negative because last month PPI deflation accelerated. The outlook suggests an improvement in underlying inflation which is currently weak, not just the headline PPI and CPI.</w:t>
      </w:r>
    </w:p>
    <w:p>
      <w:r>
        <w:rPr>
          <w:rFonts w:ascii="等线(中文正文)" w:hAnsi="等线(中文正文)" w:cs="等线(中文正文)" w:eastAsia="等线(中文正文)"/>
          <w:b w:val="false"/>
          <w:i w:val="false"/>
          <w:sz w:val="20"/>
        </w:rPr>
        <w:t/>
      </w:r>
    </w:p>
    <w:p>
      <w:pPr>
        <w:pStyle w:val="ab"/>
      </w:pPr>
      <w:r>
        <w:t>What is the outlook for underlying inflation in China and what factors are driving it?</w:t>
      </w:r>
    </w:p>
    <w:p>
      <w:r>
        <w:rPr>
          <w:rFonts w:ascii="等线(中文正文)" w:hAnsi="等线(中文正文)" w:cs="等线(中文正文)" w:eastAsia="等线(中文正文)"/>
          <w:b w:val="false"/>
          <w:i w:val="false"/>
          <w:sz w:val="20"/>
        </w:rPr>
        <w:t>发言人1：The outlook for underlying inflation in China suggests an improvement as export growth is expected to remain at a high level for a few more months. The trade numbers have the potential to be sustained at a strong level, which will provide a steady benefit to corporate margins and then to wage growth and producers over the next few months.</w:t>
      </w:r>
    </w:p>
    <w:p>
      <w:r>
        <w:rPr>
          <w:rFonts w:ascii="等线(中文正文)" w:hAnsi="等线(中文正文)" w:cs="等线(中文正文)" w:eastAsia="等线(中文正文)"/>
          <w:b w:val="false"/>
          <w:i w:val="false"/>
          <w:sz w:val="20"/>
        </w:rPr>
        <w:t/>
      </w:r>
    </w:p>
    <w:p>
      <w:pPr>
        <w:pStyle w:val="ab"/>
      </w:pPr>
      <w:r>
        <w:t>What structural challenges persist in China that could affect its inflation outlook?</w:t>
      </w:r>
    </w:p>
    <w:p>
      <w:r>
        <w:rPr>
          <w:rFonts w:ascii="等线(中文正文)" w:hAnsi="等线(中文正文)" w:cs="等线(中文正文)" w:eastAsia="等线(中文正文)"/>
          <w:b w:val="false"/>
          <w:i w:val="false"/>
          <w:sz w:val="20"/>
        </w:rPr>
        <w:t>发言人1：Structural challenges in China include a contracting rural population, the situation of the property market, and a high level of household saving rates due to a lack of social security support. These factors raise concerns about achieving a normalized inflation situation with underlying inflation at 2-3 percent.</w:t>
      </w:r>
    </w:p>
    <w:p>
      <w:r>
        <w:rPr>
          <w:rFonts w:ascii="等线(中文正文)" w:hAnsi="等线(中文正文)" w:cs="等线(中文正文)" w:eastAsia="等线(中文正文)"/>
          <w:b w:val="false"/>
          <w:i w:val="false"/>
          <w:sz w:val="20"/>
        </w:rPr>
        <w:t/>
      </w:r>
    </w:p>
    <w:p>
      <w:pPr>
        <w:pStyle w:val="ab"/>
      </w:pPr>
      <w:r>
        <w:t>What is the overall assessment of the April and May data for China, and how does it relate to consumption and policy measures?</w:t>
      </w:r>
    </w:p>
    <w:p>
      <w:r>
        <w:rPr>
          <w:rFonts w:ascii="等线(中文正文)" w:hAnsi="等线(中文正文)" w:cs="等线(中文正文)" w:eastAsia="等线(中文正文)"/>
          <w:b w:val="false"/>
          <w:i w:val="false"/>
          <w:sz w:val="20"/>
        </w:rPr>
        <w:t>发言人1：The overall assessment of the April and May data for China indicates that, despite year-over-year bad readings, consumption growth is overstating the weakness in consumption. Retail sales numbers are negative due to the base effect of the consumer training program, and the underlying consumption is largely stable. The assessment also implies that policy measures are rolled out but not vivid, focusing on handling legal issues and not yet showing significant impact on consumer sentiment.</w:t>
      </w:r>
    </w:p>
    <w:p>
      <w:r>
        <w:rPr>
          <w:rFonts w:ascii="等线(中文正文)" w:hAnsi="等线(中文正文)" w:cs="等线(中文正文)" w:eastAsia="等线(中文正文)"/>
          <w:b w:val="false"/>
          <w:i w:val="false"/>
          <w:sz w:val="20"/>
        </w:rPr>
        <w:t/>
      </w:r>
    </w:p>
    <w:p>
      <w:pPr>
        <w:pStyle w:val="ab"/>
      </w:pPr>
      <w:r>
        <w:t>What is the expected trend for project new starts in the second quarter?</w:t>
      </w:r>
    </w:p>
    <w:p>
      <w:r>
        <w:rPr>
          <w:rFonts w:ascii="等线(中文正文)" w:hAnsi="等线(中文正文)" w:cs="等线(中文正文)" w:eastAsia="等线(中文正文)"/>
          <w:b w:val="false"/>
          <w:i w:val="false"/>
          <w:sz w:val="20"/>
        </w:rPr>
        <w:t>发言人1：The expected trend for project new starts in the second quarter is relatively weak.</w:t>
      </w:r>
    </w:p>
    <w:p>
      <w:r>
        <w:rPr>
          <w:rFonts w:ascii="等线(中文正文)" w:hAnsi="等线(中文正文)" w:cs="等线(中文正文)" w:eastAsia="等线(中文正文)"/>
          <w:b w:val="false"/>
          <w:i w:val="false"/>
          <w:sz w:val="20"/>
        </w:rPr>
        <w:t/>
      </w:r>
    </w:p>
    <w:p>
      <w:pPr>
        <w:pStyle w:val="ab"/>
      </w:pPr>
      <w:r>
        <w:t>What could be the reason for the large payback in rear growth in FAI data?</w:t>
      </w:r>
    </w:p>
    <w:p>
      <w:r>
        <w:rPr>
          <w:rFonts w:ascii="等线(中文正文)" w:hAnsi="等线(中文正文)" w:cs="等线(中文正文)" w:eastAsia="等线(中文正文)"/>
          <w:b w:val="false"/>
          <w:i w:val="false"/>
          <w:sz w:val="20"/>
        </w:rPr>
        <w:t>发言人1：The large payback in rear growth in FAI data could be due to front loaded IT data getting some payback in the second quarter.</w:t>
      </w:r>
    </w:p>
    <w:p>
      <w:r>
        <w:rPr>
          <w:rFonts w:ascii="等线(中文正文)" w:hAnsi="等线(中文正文)" w:cs="等线(中文正文)" w:eastAsia="等线(中文正文)"/>
          <w:b w:val="false"/>
          <w:i w:val="false"/>
          <w:sz w:val="20"/>
        </w:rPr>
        <w:t/>
      </w:r>
    </w:p>
    <w:p>
      <w:pPr>
        <w:pStyle w:val="ab"/>
      </w:pPr>
      <w:r>
        <w:t>How is China's domestic event cooling?</w:t>
      </w:r>
    </w:p>
    <w:p>
      <w:r>
        <w:rPr>
          <w:rFonts w:ascii="等线(中文正文)" w:hAnsi="等线(中文正文)" w:cs="等线(中文正文)" w:eastAsia="等线(中文正文)"/>
          <w:b w:val="false"/>
          <w:i w:val="false"/>
          <w:sz w:val="20"/>
        </w:rPr>
        <w:t>发言人1：China's domestic event is cooling but not falling off a cliff, and it is considered relatively isolated with respect to the energy shock.</w:t>
      </w:r>
    </w:p>
    <w:p>
      <w:r>
        <w:rPr>
          <w:rFonts w:ascii="等线(中文正文)" w:hAnsi="等线(中文正文)" w:cs="等线(中文正文)" w:eastAsia="等线(中文正文)"/>
          <w:b w:val="false"/>
          <w:i w:val="false"/>
          <w:sz w:val="20"/>
        </w:rPr>
        <w:t/>
      </w:r>
    </w:p>
    <w:p>
      <w:pPr>
        <w:pStyle w:val="ab"/>
      </w:pPr>
      <w:r>
        <w:t>What is the impact of oil consumption on China's economy?</w:t>
      </w:r>
    </w:p>
    <w:p>
      <w:r>
        <w:rPr>
          <w:rFonts w:ascii="等线(中文正文)" w:hAnsi="等线(中文正文)" w:cs="等线(中文正文)" w:eastAsia="等线(中文正文)"/>
          <w:b w:val="false"/>
          <w:i w:val="false"/>
          <w:sz w:val="20"/>
        </w:rPr>
        <w:t>发言人1：China's oil consumption data indicates economic activities are collapsing, suggesting a significant impact on the economy.</w:t>
      </w:r>
    </w:p>
    <w:p>
      <w:r>
        <w:rPr>
          <w:rFonts w:ascii="等线(中文正文)" w:hAnsi="等线(中文正文)" w:cs="等线(中文正文)" w:eastAsia="等线(中文正文)"/>
          <w:b w:val="false"/>
          <w:i w:val="false"/>
          <w:sz w:val="20"/>
        </w:rPr>
        <w:t/>
      </w:r>
    </w:p>
    <w:p>
      <w:pPr>
        <w:pStyle w:val="ab"/>
      </w:pPr>
      <w:r>
        <w:t>What are the factors contributing to the decline in oil imports?</w:t>
      </w:r>
    </w:p>
    <w:p>
      <w:r>
        <w:rPr>
          <w:rFonts w:ascii="等线(中文正文)" w:hAnsi="等线(中文正文)" w:cs="等线(中文正文)" w:eastAsia="等线(中文正文)"/>
          <w:b w:val="false"/>
          <w:i w:val="false"/>
          <w:sz w:val="20"/>
        </w:rPr>
        <w:t>发言人1：The decline in oil imports is a combination of demand destruction, demand substitution, and drawdown of commercial reserves.</w:t>
      </w:r>
    </w:p>
    <w:p>
      <w:r>
        <w:rPr>
          <w:rFonts w:ascii="等线(中文正文)" w:hAnsi="等线(中文正文)" w:cs="等线(中文正文)" w:eastAsia="等线(中文正文)"/>
          <w:b w:val="false"/>
          <w:i w:val="false"/>
          <w:sz w:val="20"/>
        </w:rPr>
        <w:t/>
      </w:r>
    </w:p>
    <w:p>
      <w:pPr>
        <w:pStyle w:val="ab"/>
      </w:pPr>
      <w:r>
        <w:t>How is the mobility in China influenced by electric vehicles (EVs)?</w:t>
      </w:r>
    </w:p>
    <w:p>
      <w:r>
        <w:rPr>
          <w:rFonts w:ascii="等线(中文正文)" w:hAnsi="等线(中文正文)" w:cs="等线(中文正文)" w:eastAsia="等线(中文正文)"/>
          <w:b w:val="false"/>
          <w:i w:val="false"/>
          <w:sz w:val="20"/>
        </w:rPr>
        <w:t>发言人1：Chinese households and suppliers are increasingly using EVs for mobility, and even families relying on traditional vehicles are more likely to use cheaper public transportation, which is heavily based on EVs, resulting in a substitution that compensates for the drop in oil demand.</w:t>
      </w:r>
    </w:p>
    <w:p>
      <w:r>
        <w:rPr>
          <w:rFonts w:ascii="等线(中文正文)" w:hAnsi="等线(中文正文)" w:cs="等线(中文正文)" w:eastAsia="等线(中文正文)"/>
          <w:b w:val="false"/>
          <w:i w:val="false"/>
          <w:sz w:val="20"/>
        </w:rPr>
        <w:t/>
      </w:r>
    </w:p>
    <w:p>
      <w:pPr>
        <w:pStyle w:val="ab"/>
      </w:pPr>
      <w:r>
        <w:t>What is the current state of China's commercial reserves?</w:t>
      </w:r>
    </w:p>
    <w:p>
      <w:r>
        <w:rPr>
          <w:rFonts w:ascii="等线(中文正文)" w:hAnsi="等线(中文正文)" w:cs="等线(中文正文)" w:eastAsia="等线(中文正文)"/>
          <w:b w:val="false"/>
          <w:i w:val="false"/>
          <w:sz w:val="20"/>
        </w:rPr>
        <w:t>发言人1：The commercial reserves are probably still relatively intact despite policymakers allowing for their drawdown.</w:t>
      </w:r>
    </w:p>
    <w:p>
      <w:r>
        <w:rPr>
          <w:rFonts w:ascii="等线(中文正文)" w:hAnsi="等线(中文正文)" w:cs="等线(中文正文)" w:eastAsia="等线(中文正文)"/>
          <w:b w:val="false"/>
          <w:i w:val="false"/>
          <w:sz w:val="20"/>
        </w:rPr>
        <w:t/>
      </w:r>
    </w:p>
    <w:p>
      <w:pPr>
        <w:pStyle w:val="ab"/>
      </w:pPr>
      <w:r>
        <w:t>What is the overall assessment of the economic situation by policymakers?</w:t>
      </w:r>
    </w:p>
    <w:p>
      <w:r>
        <w:rPr>
          <w:rFonts w:ascii="等线(中文正文)" w:hAnsi="等线(中文正文)" w:cs="等线(中文正文)" w:eastAsia="等线(中文正文)"/>
          <w:b w:val="false"/>
          <w:i w:val="false"/>
          <w:sz w:val="20"/>
        </w:rPr>
        <w:t>发言人1：The policymakers' assessment of the economic situation is that domestic demand is cooling but not collapsing, and there is a sense of urgency to refine domestic policy without being in a panic mode.</w:t>
      </w:r>
    </w:p>
    <w:p>
      <w:r>
        <w:rPr>
          <w:rFonts w:ascii="等线(中文正文)" w:hAnsi="等线(中文正文)" w:cs="等线(中文正文)" w:eastAsia="等线(中文正文)"/>
          <w:b w:val="false"/>
          <w:i w:val="false"/>
          <w:sz w:val="20"/>
        </w:rPr>
        <w:t/>
      </w:r>
    </w:p>
    <w:p>
      <w:pPr>
        <w:pStyle w:val="ab"/>
      </w:pPr>
      <w:r>
        <w:t>What is the focus of Beijing's policy stance in recent years?</w:t>
      </w:r>
    </w:p>
    <w:p>
      <w:r>
        <w:rPr>
          <w:rFonts w:ascii="等线(中文正文)" w:hAnsi="等线(中文正文)" w:cs="等线(中文正文)" w:eastAsia="等线(中文正文)"/>
          <w:b w:val="false"/>
          <w:i w:val="false"/>
          <w:sz w:val="20"/>
        </w:rPr>
        <w:t>发言人1：Beijing's policy stance focuses on managing a strong first quarter followed by a weak second quarter as normative, trying to set and achieve growth targets while increasingly dealing with legacy risks.</w:t>
      </w:r>
    </w:p>
    <w:p>
      <w:r>
        <w:rPr>
          <w:rFonts w:ascii="等线(中文正文)" w:hAnsi="等线(中文正文)" w:cs="等线(中文正文)" w:eastAsia="等线(中文正文)"/>
          <w:b w:val="false"/>
          <w:i w:val="false"/>
          <w:sz w:val="20"/>
        </w:rPr>
        <w:t/>
      </w:r>
    </w:p>
    <w:p>
      <w:pPr>
        <w:pStyle w:val="ab"/>
      </w:pPr>
      <w:r>
        <w:t>Where are the priorities for investment in China's infrastructure?</w:t>
      </w:r>
    </w:p>
    <w:p>
      <w:r>
        <w:rPr>
          <w:rFonts w:ascii="等线(中文正文)" w:hAnsi="等线(中文正文)" w:cs="等线(中文正文)" w:eastAsia="等线(中文正文)"/>
          <w:b w:val="false"/>
          <w:i w:val="false"/>
          <w:sz w:val="20"/>
        </w:rPr>
        <w:t>发言人1：The priorities for investment in China's infrastructure are in constrained sectors such as power grid networks for deep transition, national computing networks for AI infrastructure, next-generation communication networks, and strategic infrastructure like urban underground pipes, national transportation networks, and national logistics networks.</w:t>
      </w:r>
    </w:p>
    <w:p>
      <w:r>
        <w:rPr>
          <w:rFonts w:ascii="等线(中文正文)" w:hAnsi="等线(中文正文)" w:cs="等线(中文正文)" w:eastAsia="等线(中文正文)"/>
          <w:b w:val="false"/>
          <w:i w:val="false"/>
          <w:sz w:val="20"/>
        </w:rPr>
        <w:t/>
      </w:r>
    </w:p>
    <w:p>
      <w:pPr>
        <w:pStyle w:val="ab"/>
      </w:pPr>
      <w:r>
        <w:t>What does the special quota fiscal tool announced by the MPC signify?</w:t>
      </w:r>
    </w:p>
    <w:p>
      <w:r>
        <w:rPr>
          <w:rFonts w:ascii="等线(中文正文)" w:hAnsi="等线(中文正文)" w:cs="等线(中文正文)" w:eastAsia="等线(中文正文)"/>
          <w:b w:val="false"/>
          <w:i w:val="false"/>
          <w:sz w:val="20"/>
        </w:rPr>
        <w:t>发言人1：The special quota fiscal tool announced by the MPC signifies a commitment to infrastructure support, with issuance of policy bank bonds reflecting this commitment. However, the actual deployment of this support is yet to be seen, with close to zero implementation year to date.</w:t>
      </w:r>
    </w:p>
    <w:p>
      <w:r>
        <w:rPr>
          <w:rFonts w:ascii="等线(中文正文)" w:hAnsi="等线(中文正文)" w:cs="等线(中文正文)" w:eastAsia="等线(中文正文)"/>
          <w:b w:val="false"/>
          <w:i w:val="false"/>
          <w:sz w:val="20"/>
        </w:rPr>
        <w:t/>
      </w:r>
    </w:p>
    <w:p>
      <w:pPr>
        <w:pStyle w:val="ab"/>
      </w:pPr>
      <w:r>
        <w:t>How is investment expected to affect China's GDP in the second half of the year?</w:t>
      </w:r>
    </w:p>
    <w:p>
      <w:r>
        <w:rPr>
          <w:rFonts w:ascii="等线(中文正文)" w:hAnsi="等线(中文正文)" w:cs="等线(中文正文)" w:eastAsia="等线(中文正文)"/>
          <w:b w:val="false"/>
          <w:i w:val="false"/>
          <w:sz w:val="20"/>
        </w:rPr>
        <w:t>发言人1：Investment is expected to stabilize the demand in the second half of the year and, coupled with a civilizing hormonal situation, be a small tailwind to China's growth. This is expected to bring the second half's GDP tracking to around 4.7 to 4.8 percent, with a four-year average around 4.8 percent.</w:t>
      </w:r>
    </w:p>
    <w:p>
      <w:r>
        <w:rPr>
          <w:rFonts w:ascii="等线(中文正文)" w:hAnsi="等线(中文正文)" w:cs="等线(中文正文)" w:eastAsia="等线(中文正文)"/>
          <w:b w:val="false"/>
          <w:i w:val="false"/>
          <w:sz w:val="20"/>
        </w:rPr>
        <w:t/>
      </w:r>
    </w:p>
    <w:p>
      <w:pPr>
        <w:pStyle w:val="ab"/>
      </w:pPr>
      <w:r>
        <w:t>What are the factors driving the recovery in consumer spending in Korea and Taiwan?</w:t>
      </w:r>
    </w:p>
    <w:p>
      <w:r>
        <w:rPr>
          <w:rFonts w:ascii="等线(中文正文)" w:hAnsi="等线(中文正文)" w:cs="等线(中文正文)" w:eastAsia="等线(中文正文)"/>
          <w:b w:val="false"/>
          <w:i w:val="false"/>
          <w:sz w:val="20"/>
        </w:rPr>
        <w:t>发言人1：The factors driving the recovery in consumer spending in Korea and Taiwan include more than just wealth effects, with visible improvements in consumption and luxury goods sales. This is attributed to equity gains, with department store sales numbers rising more than twenty percent. Additionally, the number of inbound tourists has increased, contributing to the overall additional demand on top of the local wealth effect.</w:t>
      </w:r>
    </w:p>
    <w:p>
      <w:r>
        <w:rPr>
          <w:rFonts w:ascii="等线(中文正文)" w:hAnsi="等线(中文正文)" w:cs="等线(中文正文)" w:eastAsia="等线(中文正文)"/>
          <w:b w:val="false"/>
          <w:i w:val="false"/>
          <w:sz w:val="20"/>
        </w:rPr>
        <w:t/>
      </w:r>
    </w:p>
    <w:p>
      <w:pPr>
        <w:pStyle w:val="ab"/>
      </w:pPr>
      <w:r>
        <w:t>What fiscal support measures are currently helping the consumption recovery?</w:t>
      </w:r>
    </w:p>
    <w:p>
      <w:r>
        <w:rPr>
          <w:rFonts w:ascii="等线(中文正文)" w:hAnsi="等线(中文正文)" w:cs="等线(中文正文)" w:eastAsia="等线(中文正文)"/>
          <w:b w:val="false"/>
          <w:i w:val="false"/>
          <w:sz w:val="20"/>
        </w:rPr>
        <w:t>发言人1：Fiscal support is being provided to the lower income brackets and small businesses through direct transfers of funds, including two rounds of consumption handouts. There is also a possibility of a supplementary budget targeted to assist isolated sectors within the economy that are not tied to tech exports or the export sector performance, particularly in the housing sector.</w:t>
      </w:r>
    </w:p>
    <w:p>
      <w:r>
        <w:rPr>
          <w:rFonts w:ascii="等线(中文正文)" w:hAnsi="等线(中文正文)" w:cs="等线(中文正文)" w:eastAsia="等线(中文正文)"/>
          <w:b w:val="false"/>
          <w:i w:val="false"/>
          <w:sz w:val="20"/>
        </w:rPr>
        <w:t/>
      </w:r>
    </w:p>
    <w:p>
      <w:pPr>
        <w:pStyle w:val="ab"/>
      </w:pPr>
      <w:r>
        <w:t>How has wage growth contributed to the consumption recovery in Korea?</w:t>
      </w:r>
    </w:p>
    <w:p>
      <w:r>
        <w:rPr>
          <w:rFonts w:ascii="等线(中文正文)" w:hAnsi="等线(中文正文)" w:cs="等线(中文正文)" w:eastAsia="等线(中文正文)"/>
          <w:b w:val="false"/>
          <w:i w:val="false"/>
          <w:sz w:val="20"/>
        </w:rPr>
        <w:t>发言人1：Wage growth in Korea has been positive and broad-based, not confined to just the tech or manufacturing export sectors. Nominal wage growth data for the first quarter showed a significant increase, which could be attributed to a base effect from the low levels of activity and uncertainty in early 2025. Additionally, the growth is spread across various sectors including services, construction, and education, indicating a robust recovery linked to wealth effects and fiscal support.</w:t>
      </w:r>
    </w:p>
    <w:p>
      <w:r>
        <w:rPr>
          <w:rFonts w:ascii="等线(中文正文)" w:hAnsi="等线(中文正文)" w:cs="等线(中文正文)" w:eastAsia="等线(中文正文)"/>
          <w:b w:val="false"/>
          <w:i w:val="false"/>
          <w:sz w:val="20"/>
        </w:rPr>
        <w:t/>
      </w:r>
    </w:p>
    <w:p>
      <w:pPr>
        <w:pStyle w:val="ab"/>
      </w:pPr>
      <w:r>
        <w:t>What is the outlook for wage growth in the tech sector and its impact on inflation?</w:t>
      </w:r>
    </w:p>
    <w:p>
      <w:r>
        <w:rPr>
          <w:rFonts w:ascii="等线(中文正文)" w:hAnsi="等线(中文正文)" w:cs="等线(中文正文)" w:eastAsia="等线(中文正文)"/>
          <w:b w:val="false"/>
          <w:i w:val="false"/>
          <w:sz w:val="20"/>
        </w:rPr>
        <w:t>发言人1：Wage growth in the tech sector, especially among chip makers, is likely to be significant next year based on performance in 2026. There are stories of labor unions in other tech companies and LG demanding higher wages in negotiations. This could result in broader wage growth extending from the tech sector to domestic and other manufacturing sectors, leading to higher inflation and upward pressure on prices.</w:t>
      </w:r>
    </w:p>
    <w:p>
      <w:r>
        <w:rPr>
          <w:rFonts w:ascii="等线(中文正文)" w:hAnsi="等线(中文正文)" w:cs="等线(中文正文)" w:eastAsia="等线(中文正文)"/>
          <w:b w:val="false"/>
          <w:i w:val="false"/>
          <w:sz w:val="20"/>
        </w:rPr>
        <w:t/>
      </w:r>
    </w:p>
    <w:p>
      <w:pPr>
        <w:pStyle w:val="ab"/>
      </w:pPr>
      <w:r>
        <w:t>How does the wage growth and fiscal story play out in Taiwan?</w:t>
      </w:r>
    </w:p>
    <w:p>
      <w:r>
        <w:rPr>
          <w:rFonts w:ascii="等线(中文正文)" w:hAnsi="等线(中文正文)" w:cs="等线(中文正文)" w:eastAsia="等线(中文正文)"/>
          <w:b w:val="false"/>
          <w:i w:val="false"/>
          <w:sz w:val="20"/>
        </w:rPr>
        <w:t>发言人1：In Taiwan, while wage growth is broadening out from the tech sector to non-tech and domestic services sectors, the effect of this broader performance on the economy could be limited due to a larger tech sector presence. However, there is a fiscal story evident, as evidenced by the acceleration and sustainability of consumption recovery from the fourth quarter of 2025. Taiwan has been providing fiscal support through cash handouts since last November, which is expected to influence the economy positively.</w:t>
      </w:r>
    </w:p>
    <w:p>
      <w:r>
        <w:rPr>
          <w:rFonts w:ascii="等线(中文正文)" w:hAnsi="等线(中文正文)" w:cs="等线(中文正文)" w:eastAsia="等线(中文正文)"/>
          <w:b w:val="false"/>
          <w:i w:val="false"/>
          <w:sz w:val="20"/>
        </w:rPr>
        <w:t/>
      </w:r>
    </w:p>
    <w:p>
      <w:pPr>
        <w:pStyle w:val="ab"/>
      </w:pPr>
      <w:r>
        <w:t>What will be the challenge for Asia if the US Fed rate hikes and how will central banks respond?</w:t>
      </w:r>
    </w:p>
    <w:p>
      <w:r>
        <w:rPr>
          <w:rFonts w:ascii="等线(中文正文)" w:hAnsi="等线(中文正文)" w:cs="等线(中文正文)" w:eastAsia="等线(中文正文)"/>
          <w:b w:val="false"/>
          <w:i w:val="false"/>
          <w:sz w:val="20"/>
        </w:rPr>
        <w:t>发言人1：A shift in US monetary policy towards higher interest rates could create challenges for Asia if it implies a slowdown in US growth, requiring Asian central banks to follow suit. However, given the strength in the cap cycle across Asia and the broadening of benefits from tech to non-tech sectors, it is expected that central banks in the region, with the exception of China, will lift rates. This parallel growth strength in the region is expected to allow central banks to comfortably raise rates without facing significant challenges.</w:t>
      </w:r>
    </w:p>
    <w:p>
      <w:r>
        <w:rPr>
          <w:rFonts w:ascii="等线(中文正文)" w:hAnsi="等线(中文正文)" w:cs="等线(中文正文)" w:eastAsia="等线(中文正文)"/>
          <w:b w:val="false"/>
          <w:i w:val="false"/>
          <w:sz w:val="20"/>
        </w:rPr>
        <w:t/>
      </w:r>
    </w:p>
    <w:p>
      <w:pPr>
        <w:pStyle w:val="ab"/>
      </w:pPr>
      <w:r>
        <w:t>What is the long-term outlook for China's wage growth and its stance on AI integration in the economy?</w:t>
      </w:r>
    </w:p>
    <w:p>
      <w:r>
        <w:rPr>
          <w:rFonts w:ascii="等线(中文正文)" w:hAnsi="等线(中文正文)" w:cs="等线(中文正文)" w:eastAsia="等线(中文正文)"/>
          <w:b w:val="false"/>
          <w:i w:val="false"/>
          <w:sz w:val="20"/>
        </w:rPr>
        <w:t>发言人1：China's wage growth is anticipated to largely align with nominal GDP growth, although there may be sector-specific differences leading to a 'k-shaped' recovery or new labor displacement effects in the long term. The labor share in the economy may slightly decline, but overall it's expected to remain in line with normal growth trends. China's approach to AI involves utilizing the low-cost realities of large language models to displace technology in the economy and to a broader scale, incorporating the use of supply chain and industrial data. Beijing is likely to face challenges in this area due to U.S.-China competition, and while there may be some mitigating measures, the near-term focus will still be on hard tech sectors.</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2026-06-28T02:53:14Z</dcterms:created>
  <dc:creator>Apache POI</dc:creator>
</cp:coreProperties>
</file>