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中国经济：2026，承前启后 260627_导读</w:t>
      </w:r>
    </w:p>
    <w:p>
      <w:pPr>
        <w:pStyle w:val="a0"/>
        <w:jc w:val="center"/>
      </w:pPr>
      <w:r>
        <w:t>2026年06月28日 10:34</w:t>
      </w:r>
    </w:p>
    <w:p>
      <w:pPr>
        <w:pStyle w:val="a7"/>
      </w:pPr>
      <w:r>
        <w:t>关键词</w:t>
      </w:r>
    </w:p>
    <w:p>
      <w:r>
        <w:rPr>
          <w:rFonts w:ascii="等线(中文正文)" w:hAnsi="等线(中文正文)" w:cs="等线(中文正文)" w:eastAsia="等线(中文正文)"/>
          <w:b w:val="false"/>
          <w:i w:val="false"/>
          <w:sz w:val="20"/>
        </w:rPr>
        <w:t xml:space="preserve">中国人民大学 刘元成 毛中华 李扬 刘世锦 蔡昉 黄海洲 郑新业 严燕 刘庆 余生爱 周建贤 20周年 十五五 2035年 高质量发展 宏观经济 结构分化 稳增长 高收入经济体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分析了当前中国经济所面临的多重挑战，如房地产市场缩水、投资不足、产能过剩等问题，指出这些问题的根本原因在于企业信心不足、市场机制不健全等微观层面。讨论强调，单纯依靠宏观调控可能无法有效解决这些问题，需要从激发微观活力出发，通过国企改革、产权保护、平等竞争等措施提升企业信心和市场效率。对话还提及了优化资源配置、构建新传导机制、创新驱动等手段，旨在促进经济增长新动能的培育，最终实现经济的健康发展。此外，对话还涵盖了宏观经济论坛的历史、成员、重要嘉宾、报告内容及未来展望，强调了金融结构优化、利率市场化、金融科技发展等议题的重要性，并对如何应对当前及未来经济挑战提出了建议。对话内容凸显了宏观经济论坛在推动中国宏观经济研究和政策制定方面的重要角色，以及中国经济在金融支持实体经济、金融供给侧结构性改革、科技创新等方面的发展趋势和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20年宏观经济论坛回顾与展望</w:t>
      </w:r>
    </w:p>
    <w:p>
      <w:r>
        <w:rPr>
          <w:rFonts w:ascii="等线(中文正文)" w:hAnsi="等线(中文正文)" w:cs="等线(中文正文)" w:eastAsia="等线(中文正文)"/>
          <w:b w:val="false"/>
          <w:i w:val="false"/>
          <w:sz w:val="20"/>
        </w:rPr>
        <w:t>本次论坛回顾了过去20年的历程，从一年半两期发展至每年近40期，涵盖了年度、季度、月度、热点、国际及闭门论坛。感谢各界支持，特别邀请了多位重量级嘉宾，包括金融与发展实验室理事长、全国政协经济委员会副主任、社科院学部委员等，共同探讨宏观经济议题。</w:t>
      </w:r>
    </w:p>
    <w:p>
      <w:r>
        <w:rPr>
          <w:rFonts w:ascii="等线(中文正文)" w:hAnsi="等线(中文正文)" w:cs="等线(中文正文)" w:eastAsia="等线(中文正文)"/>
          <w:b w:val="false"/>
          <w:i w:val="false"/>
          <w:sz w:val="20"/>
        </w:rPr>
        <w:t/>
      </w:r>
    </w:p>
    <w:p>
      <w:pPr>
        <w:pStyle w:val="ab"/>
        <w:numPr>
          <w:numId w:val="2"/>
        </w:numPr>
      </w:pPr>
      <w:r>
        <w:t>02:18 宏观经济论坛20周年：回顾与展望</w:t>
      </w:r>
    </w:p>
    <w:p>
      <w:r>
        <w:rPr>
          <w:rFonts w:ascii="等线(中文正文)" w:hAnsi="等线(中文正文)" w:cs="等线(中文正文)" w:eastAsia="等线(中文正文)"/>
          <w:b w:val="false"/>
          <w:i w:val="false"/>
          <w:sz w:val="20"/>
        </w:rPr>
        <w:t>在庆祝中国宏观经济论坛20周年之际，回顾了论坛成立以来，紧密围绕党和国家中心工作，聚焦中国宏观经济运行，服务政策研究与理论创新，培养经济学人才，构建自主知识体系的历程。论坛坚持扎根中国大地，面向中国实践，推进理论创新，已成为观察宏观经济、服务政策、推动理论创新的重要平台，对中国人民大学乃至中国哲学社会科学领域的发展产生了深远影响。未来，论坛将继续秉承初心，加快构建中国特色哲学社会科学，为实现社会主义现代化目标贡献力量。</w:t>
      </w:r>
    </w:p>
    <w:p>
      <w:r>
        <w:rPr>
          <w:rFonts w:ascii="等线(中文正文)" w:hAnsi="等线(中文正文)" w:cs="等线(中文正文)" w:eastAsia="等线(中文正文)"/>
          <w:b w:val="false"/>
          <w:i w:val="false"/>
          <w:sz w:val="20"/>
        </w:rPr>
        <w:t/>
      </w:r>
    </w:p>
    <w:p>
      <w:pPr>
        <w:pStyle w:val="ab"/>
        <w:numPr>
          <w:numId w:val="3"/>
        </w:numPr>
      </w:pPr>
      <w:r>
        <w:t>06:59 中国宏观经济论坛：理论阐释与决策支持的二十年</w:t>
      </w:r>
    </w:p>
    <w:p>
      <w:r>
        <w:rPr>
          <w:rFonts w:ascii="等线(中文正文)" w:hAnsi="等线(中文正文)" w:cs="等线(中文正文)" w:eastAsia="等线(中文正文)"/>
          <w:b w:val="false"/>
          <w:i w:val="false"/>
          <w:sz w:val="20"/>
        </w:rPr>
        <w:t>中国宏观经济论坛在党的创新理论阐释、服务政府科学决策、支持多主体高质量决策以及促进立德树人和自主知识体系建设方面发挥了重要作用。论坛通过研究宏观经济重大命题，推动理论与实践结合，提升宏观政策效能，同时为社会科学工作者提供理论与实践指导，强调马克思立场、人民中心和扎根中国大地的研究路径，为国家宏观治理和经济学自主知识体系构建做出贡献。</w:t>
      </w:r>
    </w:p>
    <w:p>
      <w:r>
        <w:rPr>
          <w:rFonts w:ascii="等线(中文正文)" w:hAnsi="等线(中文正文)" w:cs="等线(中文正文)" w:eastAsia="等线(中文正文)"/>
          <w:b w:val="false"/>
          <w:i w:val="false"/>
          <w:sz w:val="20"/>
        </w:rPr>
        <w:t/>
      </w:r>
    </w:p>
    <w:p>
      <w:pPr>
        <w:pStyle w:val="ab"/>
        <w:numPr>
          <w:numId w:val="4"/>
        </w:numPr>
      </w:pPr>
      <w:r>
        <w:t>13:02 宏观经济论坛20年回顾与未来展望</w:t>
      </w:r>
    </w:p>
    <w:p>
      <w:r>
        <w:rPr>
          <w:rFonts w:ascii="等线(中文正文)" w:hAnsi="等线(中文正文)" w:cs="等线(中文正文)" w:eastAsia="等线(中文正文)"/>
          <w:b w:val="false"/>
          <w:i w:val="false"/>
          <w:sz w:val="20"/>
        </w:rPr>
        <w:t>过去20年，宏观经济论坛在服务国家战略、阐释党的创新理论等方面取得显著成绩。面向未来，论坛将围绕党的创新理论、党和国家大政方针、人的全面发展与社会进步、学术组织能力提升等方向，持续贡献于中国式现代化建设，致力于培养更多青年学者，提升研究质量，服务宏观治理，推动经济学自主体系建设，展现新担当，实现新作为。</w:t>
      </w:r>
    </w:p>
    <w:p>
      <w:r>
        <w:rPr>
          <w:rFonts w:ascii="等线(中文正文)" w:hAnsi="等线(中文正文)" w:cs="等线(中文正文)" w:eastAsia="等线(中文正文)"/>
          <w:b w:val="false"/>
          <w:i w:val="false"/>
          <w:sz w:val="20"/>
        </w:rPr>
        <w:t/>
      </w:r>
    </w:p>
    <w:p>
      <w:pPr>
        <w:pStyle w:val="ab"/>
        <w:numPr>
          <w:numId w:val="5"/>
        </w:numPr>
      </w:pPr>
      <w:r>
        <w:t>16:37 2026年中国宏观经济承前启后分析</w:t>
      </w:r>
    </w:p>
    <w:p>
      <w:r>
        <w:rPr>
          <w:rFonts w:ascii="等线(中文正文)" w:hAnsi="等线(中文正文)" w:cs="等线(中文正文)" w:eastAsia="等线(中文正文)"/>
          <w:b w:val="false"/>
          <w:i w:val="false"/>
          <w:sz w:val="20"/>
        </w:rPr>
        <w:t>报告围绕中国宏观经济的承前启后主题，回顾了当前历史方位及十五五时期的核心定位，分析了上半年宏观经济形势，探讨了三重逻辑下的承前启后核心内容，评估了面临的挑战与机遇，并对未来的经济增长进行了研判，提出了政策建议，强调2026年作为十五五开局之年的承前启后使命。</w:t>
      </w:r>
    </w:p>
    <w:p>
      <w:r>
        <w:rPr>
          <w:rFonts w:ascii="等线(中文正文)" w:hAnsi="等线(中文正文)" w:cs="等线(中文正文)" w:eastAsia="等线(中文正文)"/>
          <w:b w:val="false"/>
          <w:i w:val="false"/>
          <w:sz w:val="20"/>
        </w:rPr>
        <w:t/>
      </w:r>
    </w:p>
    <w:p>
      <w:pPr>
        <w:pStyle w:val="ab"/>
        <w:numPr>
          <w:numId w:val="6"/>
        </w:numPr>
      </w:pPr>
      <w:r>
        <w:t>19:26 宏观经济结构分化与产业升级挑战</w:t>
      </w:r>
    </w:p>
    <w:p>
      <w:r>
        <w:rPr>
          <w:rFonts w:ascii="等线(中文正文)" w:hAnsi="等线(中文正文)" w:cs="等线(中文正文)" w:eastAsia="等线(中文正文)"/>
          <w:b w:val="false"/>
          <w:i w:val="false"/>
          <w:sz w:val="20"/>
        </w:rPr>
        <w:t>一季度GDP开门红，但稳增长压力大。经济结构分化明显，涉及生产、需求及投资领域，反映中国经济向高收入阶段转型的必然性。科技创新与地缘政治变迁加速分化，预计将持续数年。传统产业投资下行，过剩产能出清，地方政府财力受限加剧下滑。经济调整带来转型升级收益，但也伴随广泛痛楚与收入预期弱化，需政府协调平衡。</w:t>
      </w:r>
    </w:p>
    <w:p>
      <w:r>
        <w:rPr>
          <w:rFonts w:ascii="等线(中文正文)" w:hAnsi="等线(中文正文)" w:cs="等线(中文正文)" w:eastAsia="等线(中文正文)"/>
          <w:b w:val="false"/>
          <w:i w:val="false"/>
          <w:sz w:val="20"/>
        </w:rPr>
        <w:t/>
      </w:r>
    </w:p>
    <w:p>
      <w:pPr>
        <w:pStyle w:val="ab"/>
        <w:numPr>
          <w:numId w:val="7"/>
        </w:numPr>
      </w:pPr>
      <w:r>
        <w:t>25:10 中国经济现状与政策导向：承前启后视角</w:t>
      </w:r>
    </w:p>
    <w:p>
      <w:r>
        <w:rPr>
          <w:rFonts w:ascii="等线(中文正文)" w:hAnsi="等线(中文正文)" w:cs="等线(中文正文)" w:eastAsia="等线(中文正文)"/>
          <w:b w:val="false"/>
          <w:i w:val="false"/>
          <w:sz w:val="20"/>
        </w:rPr>
        <w:t>讨论了中国宏观经济的K型分化现象，强调了承前启后的重要性，包括坚守底线、优化调整和开创新局三重逻辑。分析了面临的风险挑战，提出了政策应对策略，预期2026年经济将呈现U型走势，目标增长4.5%至5%。</w:t>
      </w:r>
    </w:p>
    <w:p>
      <w:r>
        <w:rPr>
          <w:rFonts w:ascii="等线(中文正文)" w:hAnsi="等线(中文正文)" w:cs="等线(中文正文)" w:eastAsia="等线(中文正文)"/>
          <w:b w:val="false"/>
          <w:i w:val="false"/>
          <w:sz w:val="20"/>
        </w:rPr>
        <w:t/>
      </w:r>
    </w:p>
    <w:p>
      <w:pPr>
        <w:pStyle w:val="ab"/>
        <w:numPr>
          <w:numId w:val="8"/>
        </w:numPr>
      </w:pPr>
      <w:r>
        <w:t>29:37 中国宏观经济现状与挑战</w:t>
      </w:r>
    </w:p>
    <w:p>
      <w:r>
        <w:rPr>
          <w:rFonts w:ascii="等线(中文正文)" w:hAnsi="等线(中文正文)" w:cs="等线(中文正文)" w:eastAsia="等线(中文正文)"/>
          <w:b w:val="false"/>
          <w:i w:val="false"/>
          <w:sz w:val="20"/>
        </w:rPr>
        <w:t>上半年中国经济实现开门红，GDP增长5%，但稳增长压力大。第一产业平稳，第二产业放缓，第三产业支撑增长。供给端农业平稳，工业生产放缓，高技术制造业和装备制造业增速领先。服务业温和放缓，生产性服务业增长。需求端外需韧性强，内需偏弱，结构分化明显。</w:t>
      </w:r>
    </w:p>
    <w:p>
      <w:r>
        <w:rPr>
          <w:rFonts w:ascii="等线(中文正文)" w:hAnsi="等线(中文正文)" w:cs="等线(中文正文)" w:eastAsia="等线(中文正文)"/>
          <w:b w:val="false"/>
          <w:i w:val="false"/>
          <w:sz w:val="20"/>
        </w:rPr>
        <w:t/>
      </w:r>
    </w:p>
    <w:p>
      <w:pPr>
        <w:pStyle w:val="ab"/>
        <w:numPr>
          <w:numId w:val="9"/>
        </w:numPr>
      </w:pPr>
      <w:r>
        <w:t>35:31 消费市场特征与政策启示</w:t>
      </w:r>
    </w:p>
    <w:p>
      <w:r>
        <w:rPr>
          <w:rFonts w:ascii="等线(中文正文)" w:hAnsi="等线(中文正文)" w:cs="等线(中文正文)" w:eastAsia="等线(中文正文)"/>
          <w:b w:val="false"/>
          <w:i w:val="false"/>
          <w:sz w:val="20"/>
        </w:rPr>
        <w:t>对话分析了2023年1-5月消费市场的总体走弱现象，指出电商大促和政策补贴高峰后消费基数高企是负增长主要原因。商品消费和服务消费呈现快速分化，服务消费增长显著，而商品消费中，通讯器材、烟酒类等支撑项增长，建筑装潢材料、汽车等大宗耐用品消费转弱。区域和城乡消费也出现分化，一线城市消费弱于全国其他城市，乡村消费表现优于城镇。消费内部分化提示政策设计需有的放矢，瞄准真实需求，顺应消费结构变化。</w:t>
      </w:r>
    </w:p>
    <w:p>
      <w:r>
        <w:rPr>
          <w:rFonts w:ascii="等线(中文正文)" w:hAnsi="等线(中文正文)" w:cs="等线(中文正文)" w:eastAsia="等线(中文正文)"/>
          <w:b w:val="false"/>
          <w:i w:val="false"/>
          <w:sz w:val="20"/>
        </w:rPr>
        <w:t/>
      </w:r>
    </w:p>
    <w:p>
      <w:pPr>
        <w:pStyle w:val="ab"/>
        <w:numPr>
          <w:numId w:val="10"/>
        </w:numPr>
      </w:pPr>
      <w:r>
        <w:t>39:53 投资与外需趋势：高技术产业拉动与房地产拖累</w:t>
      </w:r>
    </w:p>
    <w:p>
      <w:r>
        <w:rPr>
          <w:rFonts w:ascii="等线(中文正文)" w:hAnsi="等线(中文正文)" w:cs="等线(中文正文)" w:eastAsia="等线(中文正文)"/>
          <w:b w:val="false"/>
          <w:i w:val="false"/>
          <w:sz w:val="20"/>
        </w:rPr>
        <w:t>讨论了投资领域内，基建、制造业和房地产同步走弱的现象，以及高技术行业投资增长与传统行业下滑的分化。同时，分析了中国出口的强劲增长，特别是在高技术产品方面，以及全球产业竞争力的分化。指出房地产市场企稳呈现区域分化，核心城市房价回升，而外需则受全球人工智能超级投资周期和中国产业竞争力提升的影响。</w:t>
      </w:r>
    </w:p>
    <w:p>
      <w:r>
        <w:rPr>
          <w:rFonts w:ascii="等线(中文正文)" w:hAnsi="等线(中文正文)" w:cs="等线(中文正文)" w:eastAsia="等线(中文正文)"/>
          <w:b w:val="false"/>
          <w:i w:val="false"/>
          <w:sz w:val="20"/>
        </w:rPr>
        <w:t/>
      </w:r>
    </w:p>
    <w:p>
      <w:pPr>
        <w:pStyle w:val="ab"/>
        <w:numPr>
          <w:numId w:val="11"/>
        </w:numPr>
      </w:pPr>
      <w:r>
        <w:t>47:21 政府支出结构与宏观环境变化分析</w:t>
      </w:r>
    </w:p>
    <w:p>
      <w:r>
        <w:rPr>
          <w:rFonts w:ascii="等线(中文正文)" w:hAnsi="等线(中文正文)" w:cs="等线(中文正文)" w:eastAsia="等线(中文正文)"/>
          <w:b w:val="false"/>
          <w:i w:val="false"/>
          <w:sz w:val="20"/>
        </w:rPr>
        <w:t>2026年以来，政府支出总量回落，中央与地方政府支出增速分化，尤其地方政府支出持续下跌，影响经济增长活力。流动性环境显示货币供给充裕但信用传导不足，产业结构变化导致金融融资机制深刻调整，需政策工具创新。政府债券融资余额占比上升，但资金多流向传统基建，汇率上升反映企业结汇意愿增强，宏观环境面临新挑战。</w:t>
      </w:r>
    </w:p>
    <w:p>
      <w:r>
        <w:rPr>
          <w:rFonts w:ascii="等线(中文正文)" w:hAnsi="等线(中文正文)" w:cs="等线(中文正文)" w:eastAsia="等线(中文正文)"/>
          <w:b w:val="false"/>
          <w:i w:val="false"/>
          <w:sz w:val="20"/>
        </w:rPr>
        <w:t/>
      </w:r>
    </w:p>
    <w:p>
      <w:pPr>
        <w:pStyle w:val="ab"/>
        <w:numPr>
          <w:numId w:val="12"/>
        </w:numPr>
      </w:pPr>
      <w:r>
        <w:t>52:31 经济复苏下的就业与收入挑战</w:t>
      </w:r>
    </w:p>
    <w:p>
      <w:r>
        <w:rPr>
          <w:rFonts w:ascii="等线(中文正文)" w:hAnsi="等线(中文正文)" w:cs="等线(中文正文)" w:eastAsia="等线(中文正文)"/>
          <w:b w:val="false"/>
          <w:i w:val="false"/>
          <w:sz w:val="20"/>
        </w:rPr>
        <w:t>对话分析了经济复苏过程中就业和收入的结构性问题，指出青年就业压力大、居民收入增速下滑等现象，同时规上企业盈利改善但雇佣承压，中小企业发展指数上升。价格修复主要源于上游工业品，CPI温和但PPI与CPI剪刀差扩大可能影响中下游企业利润。预期方面，PMI保持在荣枯线上，消费者信心虽有波动但仍处高位，就业信心拖累消费。</w:t>
      </w:r>
    </w:p>
    <w:p>
      <w:r>
        <w:rPr>
          <w:rFonts w:ascii="等线(中文正文)" w:hAnsi="等线(中文正文)" w:cs="等线(中文正文)" w:eastAsia="等线(中文正文)"/>
          <w:b w:val="false"/>
          <w:i w:val="false"/>
          <w:sz w:val="20"/>
        </w:rPr>
        <w:t/>
      </w:r>
    </w:p>
    <w:p>
      <w:pPr>
        <w:pStyle w:val="ab"/>
        <w:numPr>
          <w:numId w:val="13"/>
        </w:numPr>
      </w:pPr>
      <w:r>
        <w:t>55:27 中国经济现状与优化调整路径</w:t>
      </w:r>
    </w:p>
    <w:p>
      <w:r>
        <w:rPr>
          <w:rFonts w:ascii="等线(中文正文)" w:hAnsi="等线(中文正文)" w:cs="等线(中文正文)" w:eastAsia="等线(中文正文)"/>
          <w:b w:val="false"/>
          <w:i w:val="false"/>
          <w:sz w:val="20"/>
        </w:rPr>
        <w:t>对话围绕中国经济的现状展开，指出虽然面临短期压力和动力不足，但中央政府坚守经济增长、民生保障、绿色低碳和粮食安全底线，同时在产业结构、需求结构、收入分配和区域结构上进行优化调整。此外，强调了中国在国际空间的主动运筹，包括制造业体系升级、智能经济与社会新形态发展，以及国际治理功能的强化。</w:t>
      </w:r>
    </w:p>
    <w:p>
      <w:r>
        <w:rPr>
          <w:rFonts w:ascii="等线(中文正文)" w:hAnsi="等线(中文正文)" w:cs="等线(中文正文)" w:eastAsia="等线(中文正文)"/>
          <w:b w:val="false"/>
          <w:i w:val="false"/>
          <w:sz w:val="20"/>
        </w:rPr>
        <w:t/>
      </w:r>
    </w:p>
    <w:p>
      <w:pPr>
        <w:pStyle w:val="ab"/>
        <w:numPr>
          <w:numId w:val="14"/>
        </w:numPr>
      </w:pPr>
      <w:r>
        <w:t>58:42 中国经济风险与机遇并存，需关注结构性挑战</w:t>
      </w:r>
    </w:p>
    <w:p>
      <w:r>
        <w:rPr>
          <w:rFonts w:ascii="等线(中文正文)" w:hAnsi="等线(中文正文)" w:cs="等线(中文正文)" w:eastAsia="等线(中文正文)"/>
          <w:b w:val="false"/>
          <w:i w:val="false"/>
          <w:sz w:val="20"/>
        </w:rPr>
        <w:t>讨论了中国当前面临的外部风险，如全球贸易环境恶化、地缘政治紧张等，以及内部结构性矛盾，包括内需不足、房地产调整、地方政府债务压力等。特别指出经济K型分化带来的结构性风险，如宏观总需求抑制、就业市场摩擦、区域分化加剧及金融结构风险。同时，强调了科技产业发展、重大工程启动、内需市场潜力释放、对外开放深化、区域协同发展及制度改革等发展机遇。最后，基于国际机构预测和自身测算，预计中国全年GDP增速将在4.5%至4.7%区间，建议政策在三季度前置发力。</w:t>
      </w:r>
    </w:p>
    <w:p>
      <w:r>
        <w:rPr>
          <w:rFonts w:ascii="等线(中文正文)" w:hAnsi="等线(中文正文)" w:cs="等线(中文正文)" w:eastAsia="等线(中文正文)"/>
          <w:b w:val="false"/>
          <w:i w:val="false"/>
          <w:sz w:val="20"/>
        </w:rPr>
        <w:t/>
      </w:r>
    </w:p>
    <w:p>
      <w:pPr>
        <w:pStyle w:val="ab"/>
        <w:numPr>
          <w:numId w:val="15"/>
        </w:numPr>
      </w:pPr>
      <w:r>
        <w:t>01:03:05 中国经济政策应对与长期发展策略</w:t>
      </w:r>
    </w:p>
    <w:p>
      <w:r>
        <w:rPr>
          <w:rFonts w:ascii="等线(中文正文)" w:hAnsi="等线(中文正文)" w:cs="等线(中文正文)" w:eastAsia="等线(中文正文)"/>
          <w:b w:val="false"/>
          <w:i w:val="false"/>
          <w:sz w:val="20"/>
        </w:rPr>
        <w:t>对话深入探讨了中国经济在面临挑战时的政策应对思路，强调了短期稳增长与长期促发展的平衡。提出了政府兜底民生、激活民间投资、推动人工智能与青年经济发展、建立增长成果分享机制等具体措施，旨在通过精准政策和制度公平化解社会压力，实现经济的高质量发展。</w:t>
      </w:r>
    </w:p>
    <w:p>
      <w:r>
        <w:rPr>
          <w:rFonts w:ascii="等线(中文正文)" w:hAnsi="等线(中文正文)" w:cs="等线(中文正文)" w:eastAsia="等线(中文正文)"/>
          <w:b w:val="false"/>
          <w:i w:val="false"/>
          <w:sz w:val="20"/>
        </w:rPr>
        <w:t/>
      </w:r>
    </w:p>
    <w:p>
      <w:pPr>
        <w:pStyle w:val="ab"/>
        <w:numPr>
          <w:numId w:val="16"/>
        </w:numPr>
      </w:pPr>
      <w:r>
        <w:t>01:09:41 中国金融结构优化与宏观经济趋势分析</w:t>
      </w:r>
    </w:p>
    <w:p>
      <w:r>
        <w:rPr>
          <w:rFonts w:ascii="等线(中文正文)" w:hAnsi="等线(中文正文)" w:cs="等线(中文正文)" w:eastAsia="等线(中文正文)"/>
          <w:b w:val="false"/>
          <w:i w:val="false"/>
          <w:sz w:val="20"/>
        </w:rPr>
        <w:t>对话围绕中国金融结构的优化及其对宏观经济的影响展开，强调了信贷资产比重下降、直接融资比重上升的趋势，以及金融市场和非银行金融机构作用的增强。提及2026年经济运行的四大金融因素，包括融资结构变化、利率下行、资本市场新机遇及货币政策调整。讨论了利率市场化的重要性，指出随着金融市场作用的扩大，调控重点应从银行信贷转向利率。</w:t>
      </w:r>
    </w:p>
    <w:p>
      <w:r>
        <w:rPr>
          <w:rFonts w:ascii="等线(中文正文)" w:hAnsi="等线(中文正文)" w:cs="等线(中文正文)" w:eastAsia="等线(中文正文)"/>
          <w:b w:val="false"/>
          <w:i w:val="false"/>
          <w:sz w:val="20"/>
        </w:rPr>
        <w:t/>
      </w:r>
    </w:p>
    <w:p>
      <w:pPr>
        <w:pStyle w:val="ab"/>
        <w:numPr>
          <w:numId w:val="17"/>
        </w:numPr>
      </w:pPr>
      <w:r>
        <w:t>01:14:42 2026年金融结构变化与宏观经济调控</w:t>
      </w:r>
    </w:p>
    <w:p>
      <w:r>
        <w:rPr>
          <w:rFonts w:ascii="等线(中文正文)" w:hAnsi="等线(中文正文)" w:cs="等线(中文正文)" w:eastAsia="等线(中文正文)"/>
          <w:b w:val="false"/>
          <w:i w:val="false"/>
          <w:sz w:val="20"/>
        </w:rPr>
        <w:t>讨论了2026年金融结构变化，包括信贷减少、存款不平衡增加、货币供应结构变化等现象，分析了这些变化反映的实体经济与预期变化，强调了宏观调控引导资金流向的重要性，以及货币当局对金融结构优化的共识。</w:t>
      </w:r>
    </w:p>
    <w:p>
      <w:r>
        <w:rPr>
          <w:rFonts w:ascii="等线(中文正文)" w:hAnsi="等线(中文正文)" w:cs="等线(中文正文)" w:eastAsia="等线(中文正文)"/>
          <w:b w:val="false"/>
          <w:i w:val="false"/>
          <w:sz w:val="20"/>
        </w:rPr>
        <w:t/>
      </w:r>
    </w:p>
    <w:p>
      <w:pPr>
        <w:pStyle w:val="ab"/>
        <w:numPr>
          <w:numId w:val="18"/>
        </w:numPr>
      </w:pPr>
      <w:r>
        <w:t>01:22:38 中国金融结构转型与利率市场化改革</w:t>
      </w:r>
    </w:p>
    <w:p>
      <w:r>
        <w:rPr>
          <w:rFonts w:ascii="等线(中文正文)" w:hAnsi="等线(中文正文)" w:cs="等线(中文正文)" w:eastAsia="等线(中文正文)"/>
          <w:b w:val="false"/>
          <w:i w:val="false"/>
          <w:sz w:val="20"/>
        </w:rPr>
        <w:t>对话深入探讨了中国金融结构从间接融资向直接融资转变的趋势，以及利率市场化在金融调控中的重要性。提及了科技板块对A股市值增长的贡献，以及货币当局和证监会推动金融市场改革的措施。强调了利率市场化改革的紧迫性和复杂性，包括建立合理的利率体系结构和打通各类市场间的壁垒，以实现更有效的金融资源配置。</w:t>
      </w:r>
    </w:p>
    <w:p>
      <w:r>
        <w:rPr>
          <w:rFonts w:ascii="等线(中文正文)" w:hAnsi="等线(中文正文)" w:cs="等线(中文正文)" w:eastAsia="等线(中文正文)"/>
          <w:b w:val="false"/>
          <w:i w:val="false"/>
          <w:sz w:val="20"/>
        </w:rPr>
        <w:t/>
      </w:r>
    </w:p>
    <w:p>
      <w:pPr>
        <w:pStyle w:val="ab"/>
        <w:numPr>
          <w:numId w:val="19"/>
        </w:numPr>
      </w:pPr>
      <w:r>
        <w:t>01:35:09 财政与货币政策协调下的金融变革探讨</w:t>
      </w:r>
    </w:p>
    <w:p>
      <w:r>
        <w:rPr>
          <w:rFonts w:ascii="等线(中文正文)" w:hAnsi="等线(中文正文)" w:cs="等线(中文正文)" w:eastAsia="等线(中文正文)"/>
          <w:b w:val="false"/>
          <w:i w:val="false"/>
          <w:sz w:val="20"/>
        </w:rPr>
        <w:t>讨论了财政政策与货币政策协调的重要性，特别是国库现金管理、政策性金融、国有金融机构资本金管理等方面面临的挑战与变化。强调金融市场结构已发生历史性变化，但相关理念、工具和机制尚未完全适应，呼吁各界共同推动金融体系的高质量发展。</w:t>
      </w:r>
    </w:p>
    <w:p>
      <w:r>
        <w:rPr>
          <w:rFonts w:ascii="等线(中文正文)" w:hAnsi="等线(中文正文)" w:cs="等线(中文正文)" w:eastAsia="等线(中文正文)"/>
          <w:b w:val="false"/>
          <w:i w:val="false"/>
          <w:sz w:val="20"/>
        </w:rPr>
        <w:t/>
      </w:r>
    </w:p>
    <w:p>
      <w:pPr>
        <w:pStyle w:val="ab"/>
        <w:numPr>
          <w:numId w:val="20"/>
        </w:numPr>
      </w:pPr>
      <w:r>
        <w:t>01:39:13 深化储蓄消费机制改革：扭转供强需弱的不平衡状态</w:t>
      </w:r>
    </w:p>
    <w:p>
      <w:r>
        <w:rPr>
          <w:rFonts w:ascii="等线(中文正文)" w:hAnsi="等线(中文正文)" w:cs="等线(中文正文)" w:eastAsia="等线(中文正文)"/>
          <w:b w:val="false"/>
          <w:i w:val="false"/>
          <w:sz w:val="20"/>
        </w:rPr>
        <w:t>讨论了当前经济面临的供强需弱问题，指出有效需求不足是经济运行的突出症结。分析了高储蓄、高投资、高出口的倾斜增长方式对经济的影响，强调了终端需求的重要性及其对宏观经济的拖累作用。提出深化储蓄消费机制改革，以扭转不平衡状态，促进经济健康发展。</w:t>
      </w:r>
    </w:p>
    <w:p>
      <w:r>
        <w:rPr>
          <w:rFonts w:ascii="等线(中文正文)" w:hAnsi="等线(中文正文)" w:cs="等线(中文正文)" w:eastAsia="等线(中文正文)"/>
          <w:b w:val="false"/>
          <w:i w:val="false"/>
          <w:sz w:val="20"/>
        </w:rPr>
        <w:t/>
      </w:r>
    </w:p>
    <w:p>
      <w:pPr>
        <w:pStyle w:val="ab"/>
        <w:numPr>
          <w:numId w:val="21"/>
        </w:numPr>
      </w:pPr>
      <w:r>
        <w:t>01:47:47 中国高储蓄率解析：企业留存与居民收入差距</w:t>
      </w:r>
    </w:p>
    <w:p>
      <w:r>
        <w:rPr>
          <w:rFonts w:ascii="等线(中文正文)" w:hAnsi="等线(中文正文)" w:cs="等线(中文正文)" w:eastAsia="等线(中文正文)"/>
          <w:b w:val="false"/>
          <w:i w:val="false"/>
          <w:sz w:val="20"/>
        </w:rPr>
        <w:t>讨论了中国储蓄率高的原因，指出企业高留存和居民收入差距是主要因素。企业储蓄主要由高国有资本占比和少分红造成，居民储蓄则因高收入群体储蓄集中。储蓄分布不均导致消费倾向低，政策需关注储蓄结构和收入分配。</w:t>
      </w:r>
    </w:p>
    <w:p>
      <w:r>
        <w:rPr>
          <w:rFonts w:ascii="等线(中文正文)" w:hAnsi="等线(中文正文)" w:cs="等线(中文正文)" w:eastAsia="等线(中文正文)"/>
          <w:b w:val="false"/>
          <w:i w:val="false"/>
          <w:sz w:val="20"/>
        </w:rPr>
        <w:t/>
      </w:r>
    </w:p>
    <w:p>
      <w:pPr>
        <w:pStyle w:val="ab"/>
        <w:numPr>
          <w:numId w:val="22"/>
        </w:numPr>
      </w:pPr>
      <w:r>
        <w:t>01:52:17 储蓄消费机制改革以促进经济增长</w:t>
      </w:r>
    </w:p>
    <w:p>
      <w:r>
        <w:rPr>
          <w:rFonts w:ascii="等线(中文正文)" w:hAnsi="等线(中文正文)" w:cs="等线(中文正文)" w:eastAsia="等线(中文正文)"/>
          <w:b w:val="false"/>
          <w:i w:val="false"/>
          <w:sz w:val="20"/>
        </w:rPr>
        <w:t>对话围绕储蓄消费机制改革展开，提出在投资和社零负增长背景下，需降低储蓄率、增加终端需求以恢复投资活力。建议措施包括降低全社会和企业储蓄率、增加企业分红、推动国有资本转社保基金、提高民营企业分红、改革税收制度抑制基尼系数上升、宏观调控重心转向消费侧，以及加强中低收入群体社会保障体系建设。通过这些改革，旨在形成供需动态复苏新循环，促进宏观经济稳定与长期可持续增长。</w:t>
      </w:r>
    </w:p>
    <w:p>
      <w:r>
        <w:rPr>
          <w:rFonts w:ascii="等线(中文正文)" w:hAnsi="等线(中文正文)" w:cs="等线(中文正文)" w:eastAsia="等线(中文正文)"/>
          <w:b w:val="false"/>
          <w:i w:val="false"/>
          <w:sz w:val="20"/>
        </w:rPr>
        <w:t/>
      </w:r>
    </w:p>
    <w:p>
      <w:pPr>
        <w:pStyle w:val="ab"/>
        <w:numPr>
          <w:numId w:val="23"/>
        </w:numPr>
      </w:pPr>
      <w:r>
        <w:t>02:00:53 宏观经济与全球市场趋势分析</w:t>
      </w:r>
    </w:p>
    <w:p>
      <w:r>
        <w:rPr>
          <w:rFonts w:ascii="等线(中文正文)" w:hAnsi="等线(中文正文)" w:cs="等线(中文正文)" w:eastAsia="等线(中文正文)"/>
          <w:b w:val="false"/>
          <w:i w:val="false"/>
          <w:sz w:val="20"/>
        </w:rPr>
        <w:t>讨论了宏观经济中供需失衡的体制性与结构性原因，提出通过改革储蓄和消费机制来解决。分析了全球市场受AI驱动的趋势，指出市场分化明显，科技股表现优于消费股。强调中国宏观经济与股市改善显著，新兴产业估值与融资加速发展。</w:t>
      </w:r>
    </w:p>
    <w:p>
      <w:r>
        <w:rPr>
          <w:rFonts w:ascii="等线(中文正文)" w:hAnsi="等线(中文正文)" w:cs="等线(中文正文)" w:eastAsia="等线(中文正文)"/>
          <w:b w:val="false"/>
          <w:i w:val="false"/>
          <w:sz w:val="20"/>
        </w:rPr>
        <w:t/>
      </w:r>
    </w:p>
    <w:p>
      <w:pPr>
        <w:pStyle w:val="ab"/>
        <w:numPr>
          <w:numId w:val="24"/>
        </w:numPr>
      </w:pPr>
      <w:r>
        <w:t>02:07:59 2024年政策变化对AI投资与资本市场的影响</w:t>
      </w:r>
    </w:p>
    <w:p>
      <w:r>
        <w:rPr>
          <w:rFonts w:ascii="等线(中文正文)" w:hAnsi="等线(中文正文)" w:cs="等线(中文正文)" w:eastAsia="等线(中文正文)"/>
          <w:b w:val="false"/>
          <w:i w:val="false"/>
          <w:sz w:val="20"/>
        </w:rPr>
        <w:t>2024年9月24日政策变化对AI领域融资环境产生重大影响，强调了资本市场的积极作用及科技创新与金融创新的协同。中美两国在AI赛道竞争激烈，美国主导多数超万亿市值公司，中国台湾及南韩亦有亮眼表现。欧洲、日本及其他新兴市场落后，中国需强化金融体系支持AI发展，科技巨头资本开支比例提升，需关注经营现金流与资本支出的平衡。</w:t>
      </w:r>
    </w:p>
    <w:p>
      <w:r>
        <w:rPr>
          <w:rFonts w:ascii="等线(中文正文)" w:hAnsi="等线(中文正文)" w:cs="等线(中文正文)" w:eastAsia="等线(中文正文)"/>
          <w:b w:val="false"/>
          <w:i w:val="false"/>
          <w:sz w:val="20"/>
        </w:rPr>
        <w:t/>
      </w:r>
    </w:p>
    <w:p>
      <w:pPr>
        <w:pStyle w:val="ab"/>
        <w:numPr>
          <w:numId w:val="25"/>
        </w:numPr>
      </w:pPr>
      <w:r>
        <w:t>02:11:53 AI投资与宏观经济影响：中美对比分析</w:t>
      </w:r>
    </w:p>
    <w:p>
      <w:r>
        <w:rPr>
          <w:rFonts w:ascii="等线(中文正文)" w:hAnsi="等线(中文正文)" w:cs="等线(中文正文)" w:eastAsia="等线(中文正文)"/>
          <w:b w:val="false"/>
          <w:i w:val="false"/>
          <w:sz w:val="20"/>
        </w:rPr>
        <w:t>对话深入探讨了AI技术对宏观经济的影响，特别是提升效率与脊椎就业的对比，以及AI投资如何驱动美国GDP增长。讨论了AI在不同国家的差异化影响，如中国的人口结构问题和印度的就业挑战。同时，分析了美国通胀、利率水平及资本市场对AI投资的支撑作用，以及中国政府在AI领域的主导作用和韧性。最后，提到了中美经济的科技强消费弱特征，以及中国AI投资的资金来源和政策支持。</w:t>
      </w:r>
    </w:p>
    <w:p>
      <w:r>
        <w:rPr>
          <w:rFonts w:ascii="等线(中文正文)" w:hAnsi="等线(中文正文)" w:cs="等线(中文正文)" w:eastAsia="等线(中文正文)"/>
          <w:b w:val="false"/>
          <w:i w:val="false"/>
          <w:sz w:val="20"/>
        </w:rPr>
        <w:t/>
      </w:r>
    </w:p>
    <w:p>
      <w:pPr>
        <w:pStyle w:val="ab"/>
        <w:numPr>
          <w:numId w:val="26"/>
        </w:numPr>
      </w:pPr>
      <w:r>
        <w:t>02:20:31 全球宏观经济与科技创新的关系探讨</w:t>
      </w:r>
    </w:p>
    <w:p>
      <w:r>
        <w:rPr>
          <w:rFonts w:ascii="等线(中文正文)" w:hAnsi="等线(中文正文)" w:cs="等线(中文正文)" w:eastAsia="等线(中文正文)"/>
          <w:b w:val="false"/>
          <w:i w:val="false"/>
          <w:sz w:val="20"/>
        </w:rPr>
        <w:t>对话围绕全球宏观经济形势及其对科技创新的影响展开，指出美国科技公司受实际利率影响较小，而消费端受压；中国PPI抬升对企业有利但居民端困难；欧洲错过AI发展，融资条件弱化；日本长期通缩导致人均GDP大幅下降。强调温和通货膨胀与优化金融结构对科技创新的重要性。</w:t>
      </w:r>
    </w:p>
    <w:p>
      <w:r>
        <w:rPr>
          <w:rFonts w:ascii="等线(中文正文)" w:hAnsi="等线(中文正文)" w:cs="等线(中文正文)" w:eastAsia="等线(中文正文)"/>
          <w:b w:val="false"/>
          <w:i w:val="false"/>
          <w:sz w:val="20"/>
        </w:rPr>
        <w:t/>
      </w:r>
    </w:p>
    <w:p>
      <w:pPr>
        <w:pStyle w:val="ab"/>
        <w:numPr>
          <w:numId w:val="27"/>
        </w:numPr>
      </w:pPr>
      <w:r>
        <w:t>02:27:28 人工智能与经济增长：新周期与潜在增长率提升</w:t>
      </w:r>
    </w:p>
    <w:p>
      <w:r>
        <w:rPr>
          <w:rFonts w:ascii="等线(中文正文)" w:hAnsi="等线(中文正文)" w:cs="等线(中文正文)" w:eastAsia="等线(中文正文)"/>
          <w:b w:val="false"/>
          <w:i w:val="false"/>
          <w:sz w:val="20"/>
        </w:rPr>
        <w:t>对话围绕人工智能对宏观经济的影响展开，指出AI有望推动中国进入新经济增长周期，打破传统生产率增长瓶颈。通过精细资源重新配置，AI将提高全要素生产率，实现潜在增长率的显著提升，助力达成2035年中等发达国家目标。讨论强调了AI在推动经济转型、提高劳动生产率方面的关键作用，以及其对全球科技竞赛格局的影响。</w:t>
      </w:r>
    </w:p>
    <w:p>
      <w:r>
        <w:rPr>
          <w:rFonts w:ascii="等线(中文正文)" w:hAnsi="等线(中文正文)" w:cs="等线(中文正文)" w:eastAsia="等线(中文正文)"/>
          <w:b w:val="false"/>
          <w:i w:val="false"/>
          <w:sz w:val="20"/>
        </w:rPr>
        <w:t/>
      </w:r>
    </w:p>
    <w:p>
      <w:pPr>
        <w:pStyle w:val="ab"/>
        <w:numPr>
          <w:numId w:val="28"/>
        </w:numPr>
      </w:pPr>
      <w:r>
        <w:t>02:37:23 人工智能与生产率悖论：机遇与挑战并存</w:t>
      </w:r>
    </w:p>
    <w:p>
      <w:r>
        <w:rPr>
          <w:rFonts w:ascii="等线(中文正文)" w:hAnsi="等线(中文正文)" w:cs="等线(中文正文)" w:eastAsia="等线(中文正文)"/>
          <w:b w:val="false"/>
          <w:i w:val="false"/>
          <w:sz w:val="20"/>
        </w:rPr>
        <w:t>讨论了人工智能通过资源配置效应和创造性破坏效应提高生产率的机制，同时指出这可能加剧就业不均衡和需求不足的问题。提出通过积极就业政策和投资于人来分享生产率提升成果，以破解生产率悖论，确保民生保障。</w:t>
      </w:r>
    </w:p>
    <w:p>
      <w:r>
        <w:rPr>
          <w:rFonts w:ascii="等线(中文正文)" w:hAnsi="等线(中文正文)" w:cs="等线(中文正文)" w:eastAsia="等线(中文正文)"/>
          <w:b w:val="false"/>
          <w:i w:val="false"/>
          <w:sz w:val="20"/>
        </w:rPr>
        <w:t/>
      </w:r>
    </w:p>
    <w:p>
      <w:pPr>
        <w:pStyle w:val="ab"/>
        <w:numPr>
          <w:numId w:val="29"/>
        </w:numPr>
      </w:pPr>
      <w:r>
        <w:t>02:50:03 拥抱人工智能与投资于人：应对结构性就业矛盾</w:t>
      </w:r>
    </w:p>
    <w:p>
      <w:r>
        <w:rPr>
          <w:rFonts w:ascii="等线(中文正文)" w:hAnsi="等线(中文正文)" w:cs="等线(中文正文)" w:eastAsia="等线(中文正文)"/>
          <w:b w:val="false"/>
          <w:i w:val="false"/>
          <w:sz w:val="20"/>
        </w:rPr>
        <w:t>讨论了青年和大龄劳动者的就业挑战，指出人工智能进步加剧了结构性就业矛盾，需升级积极就业政策。强调通过再分配改善收入分配，投资于人提升技能，以及发展照料经济应对人口老龄化，实现智能向善的应用。</w:t>
      </w:r>
    </w:p>
    <w:p>
      <w:r>
        <w:rPr>
          <w:rFonts w:ascii="等线(中文正文)" w:hAnsi="等线(中文正文)" w:cs="等线(中文正文)" w:eastAsia="等线(中文正文)"/>
          <w:b w:val="false"/>
          <w:i w:val="false"/>
          <w:sz w:val="20"/>
        </w:rPr>
        <w:t/>
      </w:r>
    </w:p>
    <w:p>
      <w:pPr>
        <w:pStyle w:val="ab"/>
        <w:numPr>
          <w:numId w:val="30"/>
        </w:numPr>
      </w:pPr>
      <w:r>
        <w:t>02:57:44 从微观看宏观：重构宏观分析框架</w:t>
      </w:r>
    </w:p>
    <w:p>
      <w:r>
        <w:rPr>
          <w:rFonts w:ascii="等线(中文正文)" w:hAnsi="等线(中文正文)" w:cs="等线(中文正文)" w:eastAsia="等线(中文正文)"/>
          <w:b w:val="false"/>
          <w:i w:val="false"/>
          <w:sz w:val="20"/>
        </w:rPr>
        <w:t>讨论了重构宏观分析框架的必要性，强调从微观看宏观问题的重要性，指出当前宏观经济的非均衡现象源于微观层面的收入减少、就业不足和资产缩水等问题，提出单靠货币政策和财政政策难以解决问题，需要从微观视角寻找解决之道。</w:t>
      </w:r>
    </w:p>
    <w:p>
      <w:r>
        <w:rPr>
          <w:rFonts w:ascii="等线(中文正文)" w:hAnsi="等线(中文正文)" w:cs="等线(中文正文)" w:eastAsia="等线(中文正文)"/>
          <w:b w:val="false"/>
          <w:i w:val="false"/>
          <w:sz w:val="20"/>
        </w:rPr>
        <w:t/>
      </w:r>
    </w:p>
    <w:p>
      <w:pPr>
        <w:pStyle w:val="ab"/>
        <w:numPr>
          <w:numId w:val="31"/>
        </w:numPr>
      </w:pPr>
      <w:r>
        <w:t>03:07:39 提升宏观经济政策效率需微观改革</w:t>
      </w:r>
    </w:p>
    <w:p>
      <w:r>
        <w:rPr>
          <w:rFonts w:ascii="等线(中文正文)" w:hAnsi="等线(中文正文)" w:cs="等线(中文正文)" w:eastAsia="等线(中文正文)"/>
          <w:b w:val="false"/>
          <w:i w:val="false"/>
          <w:sz w:val="20"/>
        </w:rPr>
        <w:t>对话深入探讨了宏观经济政策效率递减的问题，指出单从宏观角度难以解决问题。强调了激发微观活力的重要性，特别是通过稳定企业、增加收入、提升信心来促进内需和消费。核心措施包括国企改革、民营企业发展、产权保护、平等竞争及调动地方政府积极性，同时解决财权事项不配问题，以实现高水平社会主义市场经济体系的构建。</w:t>
      </w:r>
    </w:p>
    <w:p>
      <w:r>
        <w:rPr>
          <w:rFonts w:ascii="等线(中文正文)" w:hAnsi="等线(中文正文)" w:cs="等线(中文正文)" w:eastAsia="等线(中文正文)"/>
          <w:b w:val="false"/>
          <w:i w:val="false"/>
          <w:sz w:val="20"/>
        </w:rPr>
        <w:t/>
      </w:r>
    </w:p>
    <w:p>
      <w:pPr>
        <w:pStyle w:val="ab"/>
        <w:numPr>
          <w:numId w:val="32"/>
        </w:numPr>
      </w:pPr>
      <w:r>
        <w:t>03:11:42 宏观经济资源传导机制优化与微观动能转换探讨</w:t>
      </w:r>
    </w:p>
    <w:p>
      <w:r>
        <w:rPr>
          <w:rFonts w:ascii="等线(中文正文)" w:hAnsi="等线(中文正文)" w:cs="等线(中文正文)" w:eastAsia="等线(中文正文)"/>
          <w:b w:val="false"/>
          <w:i w:val="false"/>
          <w:sz w:val="20"/>
        </w:rPr>
        <w:t>对话围绕优化宏观经济资源的传导机制和微观动能转换展开，指出传统房地产行业在传导机制中的作用减弱，需构建现代化产业体系和培育新传导机制。同时，强调深化市场化改革和投资于人的必要性，以解决微观层面的问题，促进经济结构转型升级和消费升级。最后，总结了从宏观到微观的分析框架，指出解决供求虚弱问题需从微观入手，深化市场化改革是关键。</w:t>
      </w:r>
    </w:p>
    <w:p>
      <w:r>
        <w:rPr>
          <w:rFonts w:ascii="等线(中文正文)" w:hAnsi="等线(中文正文)" w:cs="等线(中文正文)" w:eastAsia="等线(中文正文)"/>
          <w:b w:val="false"/>
          <w:i w:val="false"/>
          <w:sz w:val="20"/>
        </w:rPr>
        <w:t/>
      </w:r>
    </w:p>
    <w:p>
      <w:pPr>
        <w:pStyle w:val="a7"/>
      </w:pPr>
      <w:r>
        <w:t>发言总结</w:t>
      </w:r>
    </w:p>
    <w:p>
      <w:pPr>
        <w:pStyle w:val="ab"/>
        <w:numPr>
          <w:numId w:val="33"/>
        </w:numPr>
      </w:pPr>
      <w:r>
        <w:t>发言人1</w:t>
      </w:r>
    </w:p>
    <w:p>
      <w:r>
        <w:rPr>
          <w:rFonts w:ascii="等线(中文正文)" w:hAnsi="等线(中文正文)" w:cs="等线(中文正文)" w:eastAsia="等线(中文正文)"/>
          <w:b w:val="false"/>
          <w:i w:val="false"/>
          <w:sz w:val="20"/>
        </w:rPr>
        <w:t>他深入讨论了人工智能对劳动生产率和资源配置的影响，强调了资源重新配置效率的重要性，并提出市场竞争和资源重新配置将促使不适应新经济格局的企业面临退出市场的压力，而有效配置资源的企业将获得生存和发展机会。他指出了创造性破坏效应，强调技术进步不仅提高生产率，也带来对现有市场和企业的冲击，需要关注如何让创造性破坏主要体现在创造新价值而非破坏上，以及如何应对人工智能带来的就业结构变化和就业市场压力。此外，他分析了劳动生产率悖论，强调提高劳动生产率需要投资于人、改善收入分配和提供再教育机会，并关注了结构性就业矛盾，特别是青年和大龄劳动者群体。他从宏观视角出发，提出了深化市场化改革、发展新经济动能和推动产业转型升级的必要性，并强调了通过改善收入分配、投资教育和科技创新来提升经济整体竞争力和可持续性的观点。最后，他回顾了宏观经济论坛的成就与贡献，强调了论坛未来的发展期望和继续为中国宏观经济研究和政策咨询作出贡献的承诺。同时，他深入探讨了中国金融结构的优化与改革，及其对宏观经济的影响，强调了金融结构优化、利率市场化、直接融资对科技创新的重要性，以及AI对全球经济的深远影响。</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问：刘元成和毛中华联合发起的论坛至今走过了多少年？这个论坛的组织形式有哪些？</w:t>
      </w:r>
    </w:p>
    <w:p>
      <w:r>
        <w:rPr>
          <w:rFonts w:ascii="等线(中文正文)" w:hAnsi="等线(中文正文)" w:cs="等线(中文正文)" w:eastAsia="等线(中文正文)"/>
          <w:b w:val="false"/>
          <w:i w:val="false"/>
          <w:sz w:val="20"/>
        </w:rPr>
        <w:t>发言人1 答：到现在已经走过了20个年头。论坛有年度、季度、月度、热点、国际以及闭门等形式，目前有将近40期。</w:t>
      </w:r>
    </w:p>
    <w:p>
      <w:r>
        <w:rPr>
          <w:rFonts w:ascii="等线(中文正文)" w:hAnsi="等线(中文正文)" w:cs="等线(中文正文)" w:eastAsia="等线(中文正文)"/>
          <w:b w:val="false"/>
          <w:i w:val="false"/>
          <w:sz w:val="20"/>
        </w:rPr>
        <w:t/>
      </w:r>
    </w:p>
    <w:p>
      <w:pPr>
        <w:pStyle w:val="ab"/>
      </w:pPr>
      <w:r>
        <w:t>发言人1 问：论坛有哪些主要嘉宾和参与者？论坛为何选择在现在这个时间点举办？</w:t>
      </w:r>
    </w:p>
    <w:p>
      <w:r>
        <w:rPr>
          <w:rFonts w:ascii="等线(中文正文)" w:hAnsi="等线(中文正文)" w:cs="等线(中文正文)" w:eastAsia="等线(中文正文)"/>
          <w:b w:val="false"/>
          <w:i w:val="false"/>
          <w:sz w:val="20"/>
        </w:rPr>
        <w:t>发言人1 答：论坛邀请了多位知名专家和学者，如国家金融与发展实验室理事长李扬教授、第十三届全国政协政协经济委员会副主任刘世锦教授、中国社科院学部委员蔡昉教授、中国人民银行货币政策委员会委员黄海洲教授、中国人民大学党委常委副校长郑新业教授等，并有中国人民大学国家发展与战略研究院执行院长刘庆教授、经济学院院长余生爱教授以及周建贤博士等参与。现在是十五五开局之年，也是我国向2035年基本实现社会主义现代化目标迈进的关键一年，对理解和把握当前宏观经济形势具有迫切需求。</w:t>
      </w:r>
    </w:p>
    <w:p>
      <w:r>
        <w:rPr>
          <w:rFonts w:ascii="等线(中文正文)" w:hAnsi="等线(中文正文)" w:cs="等线(中文正文)" w:eastAsia="等线(中文正文)"/>
          <w:b w:val="false"/>
          <w:i w:val="false"/>
          <w:sz w:val="20"/>
        </w:rPr>
        <w:t/>
      </w:r>
    </w:p>
    <w:p>
      <w:pPr>
        <w:pStyle w:val="ab"/>
      </w:pPr>
      <w:r>
        <w:t>发言人1 问：本次论坛的主题是什么？</w:t>
      </w:r>
    </w:p>
    <w:p>
      <w:r>
        <w:rPr>
          <w:rFonts w:ascii="等线(中文正文)" w:hAnsi="等线(中文正文)" w:cs="等线(中文正文)" w:eastAsia="等线(中文正文)"/>
          <w:b w:val="false"/>
          <w:i w:val="false"/>
          <w:sz w:val="20"/>
        </w:rPr>
        <w:t>发言人1 答：本期论坛的主题是中国经济2026。</w:t>
      </w:r>
    </w:p>
    <w:p>
      <w:r>
        <w:rPr>
          <w:rFonts w:ascii="等线(中文正文)" w:hAnsi="等线(中文正文)" w:cs="等线(中文正文)" w:eastAsia="等线(中文正文)"/>
          <w:b w:val="false"/>
          <w:i w:val="false"/>
          <w:sz w:val="20"/>
        </w:rPr>
        <w:t/>
      </w:r>
    </w:p>
    <w:p>
      <w:pPr>
        <w:pStyle w:val="ab"/>
      </w:pPr>
      <w:r>
        <w:t>发言人1 问：中国宏观经济论坛在中国人民大学的地位如何？</w:t>
      </w:r>
    </w:p>
    <w:p>
      <w:r>
        <w:rPr>
          <w:rFonts w:ascii="等线(中文正文)" w:hAnsi="等线(中文正文)" w:cs="等线(中文正文)" w:eastAsia="等线(中文正文)"/>
          <w:b w:val="false"/>
          <w:i w:val="false"/>
          <w:sz w:val="20"/>
        </w:rPr>
        <w:t>发言人1 答：该论坛是中国人民大学长期打造的重要学术平台，20年来在服务国家战略、推动哲学社会科学创新等方面取得了显著成绩，已成为观察中国宏观经济运行、服务宏观政策研究、培养经济学人才的大平台。</w:t>
      </w:r>
    </w:p>
    <w:p>
      <w:r>
        <w:rPr>
          <w:rFonts w:ascii="等线(中文正文)" w:hAnsi="等线(中文正文)" w:cs="等线(中文正文)" w:eastAsia="等线(中文正文)"/>
          <w:b w:val="false"/>
          <w:i w:val="false"/>
          <w:sz w:val="20"/>
        </w:rPr>
        <w:t/>
      </w:r>
    </w:p>
    <w:p>
      <w:pPr>
        <w:pStyle w:val="ab"/>
      </w:pPr>
      <w:r>
        <w:t>发言人1 问：论坛的经验总结是什么？</w:t>
      </w:r>
    </w:p>
    <w:p>
      <w:r>
        <w:rPr>
          <w:rFonts w:ascii="等线(中文正文)" w:hAnsi="等线(中文正文)" w:cs="等线(中文正文)" w:eastAsia="等线(中文正文)"/>
          <w:b w:val="false"/>
          <w:i w:val="false"/>
          <w:sz w:val="20"/>
        </w:rPr>
        <w:t>发言人1 答：论坛坚持马克思立场、观点和方法，坚持以人民为中心，为人民而研究，以及扎根中国大地，用中国实践发展理论，这是论坛长期坚持的经验。</w:t>
      </w:r>
    </w:p>
    <w:p>
      <w:r>
        <w:rPr>
          <w:rFonts w:ascii="等线(中文正文)" w:hAnsi="等线(中文正文)" w:cs="等线(中文正文)" w:eastAsia="等线(中文正文)"/>
          <w:b w:val="false"/>
          <w:i w:val="false"/>
          <w:sz w:val="20"/>
        </w:rPr>
        <w:t/>
      </w:r>
    </w:p>
    <w:p>
      <w:pPr>
        <w:pStyle w:val="ab"/>
      </w:pPr>
      <w:r>
        <w:t>发言人1 问：论坛成立20年来的主要成就有哪些？</w:t>
      </w:r>
    </w:p>
    <w:p>
      <w:r>
        <w:rPr>
          <w:rFonts w:ascii="等线(中文正文)" w:hAnsi="等线(中文正文)" w:cs="等线(中文正文)" w:eastAsia="等线(中文正文)"/>
          <w:b w:val="false"/>
          <w:i w:val="false"/>
          <w:sz w:val="20"/>
        </w:rPr>
        <w:t>发言人1 答：论坛成功做到了四点：一是服务党的创新理论阐释，推动宏观经济研究；二是服务政府科学决策，为高质量发展提供研究支撑；三是服务多主体的高质量决策，帮助各类主体理解政策、稳定预期；四是服务立德树人和中国自主知识体系的建设。</w:t>
      </w:r>
    </w:p>
    <w:p>
      <w:r>
        <w:rPr>
          <w:rFonts w:ascii="等线(中文正文)" w:hAnsi="等线(中文正文)" w:cs="等线(中文正文)" w:eastAsia="等线(中文正文)"/>
          <w:b w:val="false"/>
          <w:i w:val="false"/>
          <w:sz w:val="20"/>
        </w:rPr>
        <w:t/>
      </w:r>
    </w:p>
    <w:p>
      <w:pPr>
        <w:pStyle w:val="ab"/>
      </w:pPr>
      <w:r>
        <w:t>发言人1 问：对于未来宏观经济论坛的发展，有哪些期待？</w:t>
      </w:r>
    </w:p>
    <w:p>
      <w:r>
        <w:rPr>
          <w:rFonts w:ascii="等线(中文正文)" w:hAnsi="等线(中文正文)" w:cs="等线(中文正文)" w:eastAsia="等线(中文正文)"/>
          <w:b w:val="false"/>
          <w:i w:val="false"/>
          <w:sz w:val="20"/>
        </w:rPr>
        <w:t>发言人1 答：未来论坛将继续围绕党的创新理论诠释开展工作，落实习近平总书记的重要讲话精神，培养更多青年学者，围绕党和国家的大政方针提供科学研究，并更好地服务于人的全面发展和社会的全面进步。</w:t>
      </w:r>
    </w:p>
    <w:p>
      <w:r>
        <w:rPr>
          <w:rFonts w:ascii="等线(中文正文)" w:hAnsi="等线(中文正文)" w:cs="等线(中文正文)" w:eastAsia="等线(中文正文)"/>
          <w:b w:val="false"/>
          <w:i w:val="false"/>
          <w:sz w:val="20"/>
        </w:rPr>
        <w:t/>
      </w:r>
    </w:p>
    <w:p>
      <w:pPr>
        <w:pStyle w:val="ab"/>
      </w:pPr>
      <w:r>
        <w:t>发言人1 问：2026年对于中国宏观经济的意义是什么？</w:t>
      </w:r>
    </w:p>
    <w:p>
      <w:r>
        <w:rPr>
          <w:rFonts w:ascii="等线(中文正文)" w:hAnsi="等线(中文正文)" w:cs="等线(中文正文)" w:eastAsia="等线(中文正文)"/>
          <w:b w:val="false"/>
          <w:i w:val="false"/>
          <w:sz w:val="20"/>
        </w:rPr>
        <w:t>发言人1 答：2026年是“十五五”的开局之年，其核心使命在于承前启后，评估当前经济表现和研判未来经济政策时必须把握的视角。</w:t>
      </w:r>
    </w:p>
    <w:p>
      <w:r>
        <w:rPr>
          <w:rFonts w:ascii="等线(中文正文)" w:hAnsi="等线(中文正文)" w:cs="等线(中文正文)" w:eastAsia="等线(中文正文)"/>
          <w:b w:val="false"/>
          <w:i w:val="false"/>
          <w:sz w:val="20"/>
        </w:rPr>
        <w:t/>
      </w:r>
    </w:p>
    <w:p>
      <w:pPr>
        <w:pStyle w:val="ab"/>
      </w:pPr>
      <w:r>
        <w:t>发言人1 问：当前宏观经济形势有哪些要点？</w:t>
      </w:r>
    </w:p>
    <w:p>
      <w:r>
        <w:rPr>
          <w:rFonts w:ascii="等线(中文正文)" w:hAnsi="等线(中文正文)" w:cs="等线(中文正文)" w:eastAsia="等线(中文正文)"/>
          <w:b w:val="false"/>
          <w:i w:val="false"/>
          <w:sz w:val="20"/>
        </w:rPr>
        <w:t>发言人1 答：要点包括：一季度GDP实现5%的增长，为开门红的良好成绩；上半年预计增速在4.5%到4.7%之间，符合增长区间目标；然而，短期稳增长压力迫切，表现为K型分化或结构分化现象，这一特点在生产端、需求端及出口结构等多个维度上均有所体现，并且持续发展。</w:t>
      </w:r>
    </w:p>
    <w:p>
      <w:r>
        <w:rPr>
          <w:rFonts w:ascii="等线(中文正文)" w:hAnsi="等线(中文正文)" w:cs="等线(中文正文)" w:eastAsia="等线(中文正文)"/>
          <w:b w:val="false"/>
          <w:i w:val="false"/>
          <w:sz w:val="20"/>
        </w:rPr>
        <w:t/>
      </w:r>
    </w:p>
    <w:p>
      <w:pPr>
        <w:pStyle w:val="ab"/>
      </w:pPr>
      <w:r>
        <w:t>发言人1 问：K型分化的底层原因是什么？为什么认为K型分化将持续若干年？</w:t>
      </w:r>
    </w:p>
    <w:p>
      <w:r>
        <w:rPr>
          <w:rFonts w:ascii="等线(中文正文)" w:hAnsi="等线(中文正文)" w:cs="等线(中文正文)" w:eastAsia="等线(中文正文)"/>
          <w:b w:val="false"/>
          <w:i w:val="false"/>
          <w:sz w:val="20"/>
        </w:rPr>
        <w:t>发言人1 答：K型分化的底层原因主要有三个：中国经济即将进入高收入经济体新阶段，产业结构升级是必然要求；科技革命快速发展且竞争激烈，推动创新成为产业结构升级的核心力量；地缘政治形势变迁促使各国追求经济安全，导致不同领域的分化。主要原因有两个：一是第四次科技革命带来的大周期资本开支周期将长期持续，中国有望站在新科技革命前沿，迎来发展机遇；二是传统产业投资下行，过剩产能出清导致传统产业下滑趋势更为激烈和持久。</w:t>
      </w:r>
    </w:p>
    <w:p>
      <w:r>
        <w:rPr>
          <w:rFonts w:ascii="等线(中文正文)" w:hAnsi="等线(中文正文)" w:cs="等线(中文正文)" w:eastAsia="等线(中文正文)"/>
          <w:b w:val="false"/>
          <w:i w:val="false"/>
          <w:sz w:val="20"/>
        </w:rPr>
        <w:t/>
      </w:r>
    </w:p>
    <w:p>
      <w:pPr>
        <w:pStyle w:val="ab"/>
      </w:pPr>
      <w:r>
        <w:t>发言人1 问：如何看待K型分化描述中国经济全貌的局限性？</w:t>
      </w:r>
    </w:p>
    <w:p>
      <w:r>
        <w:rPr>
          <w:rFonts w:ascii="等线(中文正文)" w:hAnsi="等线(中文正文)" w:cs="等线(中文正文)" w:eastAsia="等线(中文正文)"/>
          <w:b w:val="false"/>
          <w:i w:val="false"/>
          <w:sz w:val="20"/>
        </w:rPr>
        <w:t>发言人1 答：K型分化只描述了中国经济的一个侧面，未能体现坚守底线（如经济增长、民生保障等）、优化调整（如创造性破坏和行业优化升级）以及开创新局（向优、向智未来前景）的整体表现，因此全面描述中国经济现状需采用“承前启后”的视角。</w:t>
      </w:r>
    </w:p>
    <w:p>
      <w:r>
        <w:rPr>
          <w:rFonts w:ascii="等线(中文正文)" w:hAnsi="等线(中文正文)" w:cs="等线(中文正文)" w:eastAsia="等线(中文正文)"/>
          <w:b w:val="false"/>
          <w:i w:val="false"/>
          <w:sz w:val="20"/>
        </w:rPr>
        <w:t/>
      </w:r>
    </w:p>
    <w:p>
      <w:pPr>
        <w:pStyle w:val="ab"/>
      </w:pPr>
      <w:r>
        <w:t>发言人1 问：当前中国经济面临的挑战有哪些？</w:t>
      </w:r>
    </w:p>
    <w:p>
      <w:r>
        <w:rPr>
          <w:rFonts w:ascii="等线(中文正文)" w:hAnsi="等线(中文正文)" w:cs="等线(中文正文)" w:eastAsia="等线(中文正文)"/>
          <w:b w:val="false"/>
          <w:i w:val="false"/>
          <w:sz w:val="20"/>
        </w:rPr>
        <w:t>发言人1 答：面临的挑战包括外部风险、内部风险，尤其是快速演化的K型分化可能带来猝不及防打破平衡的风险，如抑制总需求、加剧企业困境、扩大区域差距和累积结构性金融风险。</w:t>
      </w:r>
    </w:p>
    <w:p>
      <w:r>
        <w:rPr>
          <w:rFonts w:ascii="等线(中文正文)" w:hAnsi="等线(中文正文)" w:cs="等线(中文正文)" w:eastAsia="等线(中文正文)"/>
          <w:b w:val="false"/>
          <w:i w:val="false"/>
          <w:sz w:val="20"/>
        </w:rPr>
        <w:t/>
      </w:r>
    </w:p>
    <w:p>
      <w:pPr>
        <w:pStyle w:val="ab"/>
      </w:pPr>
      <w:r>
        <w:t>发言人1 问：中国经济有哪些发展机遇？</w:t>
      </w:r>
    </w:p>
    <w:p>
      <w:r>
        <w:rPr>
          <w:rFonts w:ascii="等线(中文正文)" w:hAnsi="等线(中文正文)" w:cs="等线(中文正文)" w:eastAsia="等线(中文正文)"/>
          <w:b w:val="false"/>
          <w:i w:val="false"/>
          <w:sz w:val="20"/>
        </w:rPr>
        <w:t>发言人1 答：除已提及的进入高收入经济体阶段、科技革命和地缘政治变迁外，还有一个重要机遇是“十五五”规划的重大部署和开局带来的发展机遇。</w:t>
      </w:r>
    </w:p>
    <w:p>
      <w:r>
        <w:rPr>
          <w:rFonts w:ascii="等线(中文正文)" w:hAnsi="等线(中文正文)" w:cs="等线(中文正文)" w:eastAsia="等线(中文正文)"/>
          <w:b w:val="false"/>
          <w:i w:val="false"/>
          <w:sz w:val="20"/>
        </w:rPr>
        <w:t/>
      </w:r>
    </w:p>
    <w:p>
      <w:pPr>
        <w:pStyle w:val="ab"/>
      </w:pPr>
      <w:r>
        <w:t>发言人1 问：政府如何做好政策应对以平衡促发展与稳增长的需求？</w:t>
      </w:r>
    </w:p>
    <w:p>
      <w:r>
        <w:rPr>
          <w:rFonts w:ascii="等线(中文正文)" w:hAnsi="等线(中文正文)" w:cs="等线(中文正文)" w:eastAsia="等线(中文正文)"/>
          <w:b w:val="false"/>
          <w:i w:val="false"/>
          <w:sz w:val="20"/>
        </w:rPr>
        <w:t>发言人1 答：政府需秉持“承前启后”的总思路，加快加力出台坚守底线、优化调整和开创新局三重逻辑的政策，既要通过兜底维持短期基本均衡以利于长期发展，也要兼顾优化调整和开创新局，避免通过限制新产业发展来应对分化现象。</w:t>
      </w:r>
    </w:p>
    <w:p>
      <w:r>
        <w:rPr>
          <w:rFonts w:ascii="等线(中文正文)" w:hAnsi="等线(中文正文)" w:cs="等线(中文正文)" w:eastAsia="等线(中文正文)"/>
          <w:b w:val="false"/>
          <w:i w:val="false"/>
          <w:sz w:val="20"/>
        </w:rPr>
        <w:t/>
      </w:r>
    </w:p>
    <w:p>
      <w:pPr>
        <w:pStyle w:val="ab"/>
      </w:pPr>
      <w:r>
        <w:t>发言人1 问：对于2026年全年经济走势的预期如何？</w:t>
      </w:r>
    </w:p>
    <w:p>
      <w:r>
        <w:rPr>
          <w:rFonts w:ascii="等线(中文正文)" w:hAnsi="等线(中文正文)" w:cs="等线(中文正文)" w:eastAsia="等线(中文正文)"/>
          <w:b w:val="false"/>
          <w:i w:val="false"/>
          <w:sz w:val="20"/>
        </w:rPr>
        <w:t>发言人1 答：预期2026年全年经济走势将呈现U型形式，最终实现政府工作报告设定的增长4.5%到5%的目标，但更可能位于目标区间的中下部，因为现状要求为转型预留空间，并强调稳增长政策和重大项目的落地实施。</w:t>
      </w:r>
    </w:p>
    <w:p>
      <w:r>
        <w:rPr>
          <w:rFonts w:ascii="等线(中文正文)" w:hAnsi="等线(中文正文)" w:cs="等线(中文正文)" w:eastAsia="等线(中文正文)"/>
          <w:b w:val="false"/>
          <w:i w:val="false"/>
          <w:sz w:val="20"/>
        </w:rPr>
        <w:t/>
      </w:r>
    </w:p>
    <w:p>
      <w:pPr>
        <w:pStyle w:val="ab"/>
      </w:pPr>
      <w:r>
        <w:t>发言人1 问：在当前经济环境下，高技术制造业和装备制造业的表现如何，其背后原因是什么？</w:t>
      </w:r>
    </w:p>
    <w:p>
      <w:r>
        <w:rPr>
          <w:rFonts w:ascii="等线(中文正文)" w:hAnsi="等线(中文正文)" w:cs="等线(中文正文)" w:eastAsia="等线(中文正文)"/>
          <w:b w:val="false"/>
          <w:i w:val="false"/>
          <w:sz w:val="20"/>
        </w:rPr>
        <w:t>发言人1 答：高技术制造业和装备制造业表现较为突出，这主要是由于新一轮科技革命带来的超级资本开支周期的影响。相比之下，传统产业如房地产相关行业及部分中下游行业则相对较弱，这可能与去年同期基数较高以及全球光伏和PC行业的退潮有关。</w:t>
      </w:r>
    </w:p>
    <w:p>
      <w:r>
        <w:rPr>
          <w:rFonts w:ascii="等线(中文正文)" w:hAnsi="等线(中文正文)" w:cs="等线(中文正文)" w:eastAsia="等线(中文正文)"/>
          <w:b w:val="false"/>
          <w:i w:val="false"/>
          <w:sz w:val="20"/>
        </w:rPr>
        <w:t/>
      </w:r>
    </w:p>
    <w:p>
      <w:pPr>
        <w:pStyle w:val="ab"/>
      </w:pPr>
      <w:r>
        <w:t>发言人1 问：新一轮科技革命和传统产业去产能化对整体经济有何影响？</w:t>
      </w:r>
    </w:p>
    <w:p>
      <w:r>
        <w:rPr>
          <w:rFonts w:ascii="等线(中文正文)" w:hAnsi="等线(中文正文)" w:cs="等线(中文正文)" w:eastAsia="等线(中文正文)"/>
          <w:b w:val="false"/>
          <w:i w:val="false"/>
          <w:sz w:val="20"/>
        </w:rPr>
        <w:t>发言人1 答：新一轮科技革命推动了新一轮超级资本开支周期，而传统产业通过市场出清进行去产能化。这种结构性分化导致与光通信相关的行业在股市上表现优异，而消费、大金融等行业则增长较慢。</w:t>
      </w:r>
    </w:p>
    <w:p>
      <w:r>
        <w:rPr>
          <w:rFonts w:ascii="等线(中文正文)" w:hAnsi="等线(中文正文)" w:cs="等线(中文正文)" w:eastAsia="等线(中文正文)"/>
          <w:b w:val="false"/>
          <w:i w:val="false"/>
          <w:sz w:val="20"/>
        </w:rPr>
        <w:t/>
      </w:r>
    </w:p>
    <w:p>
      <w:pPr>
        <w:pStyle w:val="ab"/>
      </w:pPr>
      <w:r>
        <w:t>发言人1 问：服务业的发展态势是怎样的？</w:t>
      </w:r>
    </w:p>
    <w:p>
      <w:r>
        <w:rPr>
          <w:rFonts w:ascii="等线(中文正文)" w:hAnsi="等线(中文正文)" w:cs="等线(中文正文)" w:eastAsia="等线(中文正文)"/>
          <w:b w:val="false"/>
          <w:i w:val="false"/>
          <w:sz w:val="20"/>
        </w:rPr>
        <w:t>发言人1 答：总体来看，服务业呈现温和放缓态势且内部分化严重。生产性服务业增速领先，而生活性服务业和传统服务业如金融业增长乏力。其中，信息传输、软件和信息技术服务业在2026年来保持持续快速增长。</w:t>
      </w:r>
    </w:p>
    <w:p>
      <w:r>
        <w:rPr>
          <w:rFonts w:ascii="等线(中文正文)" w:hAnsi="等线(中文正文)" w:cs="等线(中文正文)" w:eastAsia="等线(中文正文)"/>
          <w:b w:val="false"/>
          <w:i w:val="false"/>
          <w:sz w:val="20"/>
        </w:rPr>
        <w:t/>
      </w:r>
    </w:p>
    <w:p>
      <w:pPr>
        <w:pStyle w:val="ab"/>
      </w:pPr>
      <w:r>
        <w:t>发言人1 问：消费市场的情况如何？</w:t>
      </w:r>
    </w:p>
    <w:p>
      <w:r>
        <w:rPr>
          <w:rFonts w:ascii="等线(中文正文)" w:hAnsi="等线(中文正文)" w:cs="等线(中文正文)" w:eastAsia="等线(中文正文)"/>
          <w:b w:val="false"/>
          <w:i w:val="false"/>
          <w:sz w:val="20"/>
        </w:rPr>
        <w:t>发言人1 答：消费市场总体走弱，社零销售累计增长由年初的正增长转为5月份的负增长，主要原因是去年5月基数特别高。剔除基数干扰后，5月份社零两年平均增速为2.8%。商品消费和服务消费出现快速分化，商品消费中通讯器材、烟酒类、化妆品类等表现较好，而建筑装潢材料、汽车、家用电器和音像器材等大宗耐用品消费明显转弱。服务消费内部，线上消费稳步增长，新业态新模式活力释放，文旅交通消费增长较快，区域和城乡消费也呈现分化态势。</w:t>
      </w:r>
    </w:p>
    <w:p>
      <w:r>
        <w:rPr>
          <w:rFonts w:ascii="等线(中文正文)" w:hAnsi="等线(中文正文)" w:cs="等线(中文正文)" w:eastAsia="等线(中文正文)"/>
          <w:b w:val="false"/>
          <w:i w:val="false"/>
          <w:sz w:val="20"/>
        </w:rPr>
        <w:t/>
      </w:r>
    </w:p>
    <w:p>
      <w:pPr>
        <w:pStyle w:val="ab"/>
      </w:pPr>
      <w:r>
        <w:t>发言人1 问：投资方面表现如何？</w:t>
      </w:r>
    </w:p>
    <w:p>
      <w:r>
        <w:rPr>
          <w:rFonts w:ascii="等线(中文正文)" w:hAnsi="等线(中文正文)" w:cs="等线(中文正文)" w:eastAsia="等线(中文正文)"/>
          <w:b w:val="false"/>
          <w:i w:val="false"/>
          <w:sz w:val="20"/>
        </w:rPr>
        <w:t>发言人1 答：投资领域出现下滑，全口径投资下滑不再主要归因于房地产，而是转向基建制造业、房地产投资同步走弱，投资接续乏力的问题更加突出。1至5月份固定投资下降4.1%，扣除房地产投资后，固定投资仍下降1.2%，民间投资更是下降7.1%。具体表现为传统基建投资普遍下滑，但算力网和新一代通信设施投资表现良好；制造业投资中高技术行业较强，传统行业偏弱；房地产开发投资持续下行，拖累相关产业。</w:t>
      </w:r>
    </w:p>
    <w:p>
      <w:r>
        <w:rPr>
          <w:rFonts w:ascii="等线(中文正文)" w:hAnsi="等线(中文正文)" w:cs="等线(中文正文)" w:eastAsia="等线(中文正文)"/>
          <w:b w:val="false"/>
          <w:i w:val="false"/>
          <w:sz w:val="20"/>
        </w:rPr>
        <w:t/>
      </w:r>
    </w:p>
    <w:p>
      <w:pPr>
        <w:pStyle w:val="ab"/>
      </w:pPr>
      <w:r>
        <w:t>发言人1 问：外需方面表现怎样？</w:t>
      </w:r>
    </w:p>
    <w:p>
      <w:r>
        <w:rPr>
          <w:rFonts w:ascii="等线(中文正文)" w:hAnsi="等线(中文正文)" w:cs="等线(中文正文)" w:eastAsia="等线(中文正文)"/>
          <w:b w:val="false"/>
          <w:i w:val="false"/>
          <w:sz w:val="20"/>
        </w:rPr>
        <w:t>发言人1 答：外需保持韧性，出口强劲，尤其是高技术产业出口旺盛，进口中的补料需求激增。中国外贸增速亮眼，达到两位数增长，但全球多个国家如东南亚、中日韩越等也实现了较高出口增长。这背后是全球人工智能超级投资周期以及中国产业竞争力的提升，同时叠加竞争对手因能源冲击导致竞争力下降等因素，推动了近期出口超预期增长。</w:t>
      </w:r>
    </w:p>
    <w:p>
      <w:r>
        <w:rPr>
          <w:rFonts w:ascii="等线(中文正文)" w:hAnsi="等线(中文正文)" w:cs="等线(中文正文)" w:eastAsia="等线(中文正文)"/>
          <w:b w:val="false"/>
          <w:i w:val="false"/>
          <w:sz w:val="20"/>
        </w:rPr>
        <w:t/>
      </w:r>
    </w:p>
    <w:p>
      <w:pPr>
        <w:pStyle w:val="ab"/>
      </w:pPr>
      <w:r>
        <w:t>发言人1 问：中央政府和地方政府支出增速的分化现象有何重要意义？</w:t>
      </w:r>
    </w:p>
    <w:p>
      <w:r>
        <w:rPr>
          <w:rFonts w:ascii="等线(中文正文)" w:hAnsi="等线(中文正文)" w:cs="等线(中文正文)" w:eastAsia="等线(中文正文)"/>
          <w:b w:val="false"/>
          <w:i w:val="false"/>
          <w:sz w:val="20"/>
        </w:rPr>
        <w:t>发言人1 答：这种分化表明自二月以来，中央政府支出保持缓慢增长，而地方政府支出却持续下跌，甚至出现负增长。这在很大程度上反映了中国经济增长动能的重要机制——地方政府活力受限，对整体经济增长动力构成挑战，是一个值得高度重视的问题。</w:t>
      </w:r>
    </w:p>
    <w:p>
      <w:r>
        <w:rPr>
          <w:rFonts w:ascii="等线(中文正文)" w:hAnsi="等线(中文正文)" w:cs="等线(中文正文)" w:eastAsia="等线(中文正文)"/>
          <w:b w:val="false"/>
          <w:i w:val="false"/>
          <w:sz w:val="20"/>
        </w:rPr>
        <w:t/>
      </w:r>
    </w:p>
    <w:p>
      <w:pPr>
        <w:pStyle w:val="ab"/>
      </w:pPr>
      <w:r>
        <w:t>发言人1 问：政府支出中中央政府独立支出这一特征对政策有何重要含义？流动性环境中货币供给充裕但信用传导不足的现象背后的原因是什么？</w:t>
      </w:r>
    </w:p>
    <w:p>
      <w:r>
        <w:rPr>
          <w:rFonts w:ascii="等线(中文正文)" w:hAnsi="等线(中文正文)" w:cs="等线(中文正文)" w:eastAsia="等线(中文正文)"/>
          <w:b w:val="false"/>
          <w:i w:val="false"/>
          <w:sz w:val="20"/>
        </w:rPr>
        <w:t>发言人1 答：这个特征意味着在当前财政支出中，主要由中央政府在承担支出责任，这一情况对制定和实施相关政策具有指导意义。主要原因是产业结构的变化，尤其是高科技企业越来越多转向VC/PE融资而非信贷途径，导致传统重资产高负债行业与轻资产低负债科技行业的信贷需求结构发生变化，进而影响了金融政策和工具设计，使得传统的货币政策刺激经济效果减弱。</w:t>
      </w:r>
    </w:p>
    <w:p>
      <w:r>
        <w:rPr>
          <w:rFonts w:ascii="等线(中文正文)" w:hAnsi="等线(中文正文)" w:cs="等线(中文正文)" w:eastAsia="等线(中文正文)"/>
          <w:b w:val="false"/>
          <w:i w:val="false"/>
          <w:sz w:val="20"/>
        </w:rPr>
        <w:t/>
      </w:r>
    </w:p>
    <w:p>
      <w:pPr>
        <w:pStyle w:val="ab"/>
      </w:pPr>
      <w:r>
        <w:t>发言人1 问：政府负债率及其结构变化反映了什么经济现象？</w:t>
      </w:r>
    </w:p>
    <w:p>
      <w:r>
        <w:rPr>
          <w:rFonts w:ascii="等线(中文正文)" w:hAnsi="等线(中文正文)" w:cs="等线(中文正文)" w:eastAsia="等线(中文正文)"/>
          <w:b w:val="false"/>
          <w:i w:val="false"/>
          <w:sz w:val="20"/>
        </w:rPr>
        <w:t>发言人1 答：政府部门加杠杆对冲私人部门去杠杆的现象明显，政府债券融资余额占比上升，表明政府部门是本轮资金复苏的主要推动者。同时，政府债券主要流向传统基建和民生工程，新基建份额较低，体现了支出结构的变化。</w:t>
      </w:r>
    </w:p>
    <w:p>
      <w:r>
        <w:rPr>
          <w:rFonts w:ascii="等线(中文正文)" w:hAnsi="等线(中文正文)" w:cs="等线(中文正文)" w:eastAsia="等线(中文正文)"/>
          <w:b w:val="false"/>
          <w:i w:val="false"/>
          <w:sz w:val="20"/>
        </w:rPr>
        <w:t/>
      </w:r>
    </w:p>
    <w:p>
      <w:pPr>
        <w:pStyle w:val="ab"/>
      </w:pPr>
      <w:r>
        <w:t>发言人1 问：微观主体感受方面，就业和收入状况如何？</w:t>
      </w:r>
    </w:p>
    <w:p>
      <w:r>
        <w:rPr>
          <w:rFonts w:ascii="等线(中文正文)" w:hAnsi="等线(中文正文)" w:cs="等线(中文正文)" w:eastAsia="等线(中文正文)"/>
          <w:b w:val="false"/>
          <w:i w:val="false"/>
          <w:sz w:val="20"/>
        </w:rPr>
        <w:t>发言人1 答：居民端就业总体稳定，但结构性就业压力仍存，尤其是青年就业压力较大；居民收入增速有待提升，其中经营性收入增长较快，反映出个体经营小微活动出现积极变化。</w:t>
      </w:r>
    </w:p>
    <w:p>
      <w:r>
        <w:rPr>
          <w:rFonts w:ascii="等线(中文正文)" w:hAnsi="等线(中文正文)" w:cs="等线(中文正文)" w:eastAsia="等线(中文正文)"/>
          <w:b w:val="false"/>
          <w:i w:val="false"/>
          <w:sz w:val="20"/>
        </w:rPr>
        <w:t/>
      </w:r>
    </w:p>
    <w:p>
      <w:pPr>
        <w:pStyle w:val="ab"/>
      </w:pPr>
      <w:r>
        <w:t>发言人1 问：规上企业和中小企业经营状况及价格指数表现如何？</w:t>
      </w:r>
    </w:p>
    <w:p>
      <w:r>
        <w:rPr>
          <w:rFonts w:ascii="等线(中文正文)" w:hAnsi="等线(中文正文)" w:cs="等线(中文正文)" w:eastAsia="等线(中文正文)"/>
          <w:b w:val="false"/>
          <w:i w:val="false"/>
          <w:sz w:val="20"/>
        </w:rPr>
        <w:t>发言人1 答：规上企业利润总额快速增长，但平均雇佣人数增速为负，表明利润改善并非劳动友好型；中小企业发展指数持续上扬，PPI回升幅度高于CPI，显示价格修复更多来自上游和工业品价格改善，而非需求驱动型通胀，这对消费市场恢复和中下游企业利润带来压力。</w:t>
      </w:r>
    </w:p>
    <w:p>
      <w:r>
        <w:rPr>
          <w:rFonts w:ascii="等线(中文正文)" w:hAnsi="等线(中文正文)" w:cs="等线(中文正文)" w:eastAsia="等线(中文正文)"/>
          <w:b w:val="false"/>
          <w:i w:val="false"/>
          <w:sz w:val="20"/>
        </w:rPr>
        <w:t/>
      </w:r>
    </w:p>
    <w:p>
      <w:pPr>
        <w:pStyle w:val="ab"/>
      </w:pPr>
      <w:r>
        <w:t>发言人1 问：当前经济形势下的总体概括和影响因素是什么？</w:t>
      </w:r>
    </w:p>
    <w:p>
      <w:r>
        <w:rPr>
          <w:rFonts w:ascii="等线(中文正文)" w:hAnsi="等线(中文正文)" w:cs="等线(中文正文)" w:eastAsia="等线(中文正文)"/>
          <w:b w:val="false"/>
          <w:i w:val="false"/>
          <w:sz w:val="20"/>
        </w:rPr>
        <w:t>发言人1 答：总体来看，经济四大方面总体达到预期，但短期压力显著且动力不均。中央政府支出保持增长，而地方政府、民间企业、居民消费动力不足。分化的各个维度体现了承前启后的状态，背后有三重逻辑：坚守底线（如经济增长、民生保障、绿色发展等），优化调整产业结构、需求结构、收入分配格局、区域结构以及金融市场状况，开创新局（如产业升级、科技创新、扩大开放等）。</w:t>
      </w:r>
    </w:p>
    <w:p>
      <w:r>
        <w:rPr>
          <w:rFonts w:ascii="等线(中文正文)" w:hAnsi="等线(中文正文)" w:cs="等线(中文正文)" w:eastAsia="等线(中文正文)"/>
          <w:b w:val="false"/>
          <w:i w:val="false"/>
          <w:sz w:val="20"/>
        </w:rPr>
        <w:t/>
      </w:r>
    </w:p>
    <w:p>
      <w:pPr>
        <w:pStyle w:val="ab"/>
      </w:pPr>
      <w:r>
        <w:t>发言人1 问：如何理解国内外风险和发展机遇？</w:t>
      </w:r>
    </w:p>
    <w:p>
      <w:r>
        <w:rPr>
          <w:rFonts w:ascii="等线(中文正文)" w:hAnsi="等线(中文正文)" w:cs="等线(中文正文)" w:eastAsia="等线(中文正文)"/>
          <w:b w:val="false"/>
          <w:i w:val="false"/>
          <w:sz w:val="20"/>
        </w:rPr>
        <w:t>发言人1 答：外部风险主要包括全球贸易环境恶化、地缘政治紧张、高油价、贸易政策不确定性以及全球流动性收紧等；内部风险涉及内需不足、房地产调整、地方政府债务和财政压力、企业盈利困境、物价和金融风险以及人口压力。发展机遇则包括科技产业发展、重大工程项目启动、内需市场潜力释放、对外开放深化、区域协同发展以及改革释放制度红利。</w:t>
      </w:r>
    </w:p>
    <w:p>
      <w:r>
        <w:rPr>
          <w:rFonts w:ascii="等线(中文正文)" w:hAnsi="等线(中文正文)" w:cs="等线(中文正文)" w:eastAsia="等线(中文正文)"/>
          <w:b w:val="false"/>
          <w:i w:val="false"/>
          <w:sz w:val="20"/>
        </w:rPr>
        <w:t/>
      </w:r>
    </w:p>
    <w:p>
      <w:pPr>
        <w:pStyle w:val="ab"/>
      </w:pPr>
      <w:r>
        <w:t>发言人1 问：对于未来经济增长趋势和政策建议有何判断？</w:t>
      </w:r>
    </w:p>
    <w:p>
      <w:r>
        <w:rPr>
          <w:rFonts w:ascii="等线(中文正文)" w:hAnsi="等线(中文正文)" w:cs="等线(中文正文)" w:eastAsia="等线(中文正文)"/>
          <w:b w:val="false"/>
          <w:i w:val="false"/>
          <w:sz w:val="20"/>
        </w:rPr>
        <w:t>发言人1 答：根据国际机构预测与中国实际增速对比，以及自身测算结果，预计全年GDP增速将位于4.5至4.7区间，并呈现U型走势。因此，政策节奏上应在三季度前置发力，确保承前启后，坚守底线的同时，优化调整并顺应创造性破坏，推动经济持续健康发展。</w:t>
      </w:r>
    </w:p>
    <w:p>
      <w:r>
        <w:rPr>
          <w:rFonts w:ascii="等线(中文正文)" w:hAnsi="等线(中文正文)" w:cs="等线(中文正文)" w:eastAsia="等线(中文正文)"/>
          <w:b w:val="false"/>
          <w:i w:val="false"/>
          <w:sz w:val="20"/>
        </w:rPr>
        <w:t/>
      </w:r>
    </w:p>
    <w:p>
      <w:pPr>
        <w:pStyle w:val="ab"/>
      </w:pPr>
      <w:r>
        <w:t>发言人1 问：在当前经济面临的挑战下，政府应该如何应对以保持短期增长和长期发展的动态平衡？</w:t>
      </w:r>
    </w:p>
    <w:p>
      <w:r>
        <w:rPr>
          <w:rFonts w:ascii="等线(中文正文)" w:hAnsi="等线(中文正文)" w:cs="等线(中文正文)" w:eastAsia="等线(中文正文)"/>
          <w:b w:val="false"/>
          <w:i w:val="false"/>
          <w:sz w:val="20"/>
        </w:rPr>
        <w:t>发言人1 答：政府应当发挥兜底功能，保障民生社会的困难，实现短期稳增长与长期促发展的动态评估。具体措施包括：一是兜底民生；二是采取短期刺激政策，但更需建立长期增长成果的分享机制，让民众看到可持续的发展前景，从而激活内需。此外，财政政策需注重从规模扩张转向效率提升，货币政策要运用结构性工具扩大范围，覆盖民营企业和中小企业，并加强与财政政策的协同。</w:t>
      </w:r>
    </w:p>
    <w:p>
      <w:r>
        <w:rPr>
          <w:rFonts w:ascii="等线(中文正文)" w:hAnsi="等线(中文正文)" w:cs="等线(中文正文)" w:eastAsia="等线(中文正文)"/>
          <w:b w:val="false"/>
          <w:i w:val="false"/>
          <w:sz w:val="20"/>
        </w:rPr>
        <w:t/>
      </w:r>
    </w:p>
    <w:p>
      <w:pPr>
        <w:pStyle w:val="ab"/>
      </w:pPr>
      <w:r>
        <w:t>发言人1 问：对于财政和货币政策的具体调整方向有哪些？</w:t>
      </w:r>
    </w:p>
    <w:p>
      <w:r>
        <w:rPr>
          <w:rFonts w:ascii="等线(中文正文)" w:hAnsi="等线(中文正文)" w:cs="等线(中文正文)" w:eastAsia="等线(中文正文)"/>
          <w:b w:val="false"/>
          <w:i w:val="false"/>
          <w:sz w:val="20"/>
        </w:rPr>
        <w:t>发言人1 答：财政政策方面，应注重效率提升而非规模扩张，比如控制发债节奏并确保流动性保障；货币政策需扩大结构性工具的应用范围，同时稳定房地产市场以化解地方政府债务，激活经济增长机制。</w:t>
      </w:r>
    </w:p>
    <w:p>
      <w:r>
        <w:rPr>
          <w:rFonts w:ascii="等线(中文正文)" w:hAnsi="等线(中文正文)" w:cs="等线(中文正文)" w:eastAsia="等线(中文正文)"/>
          <w:b w:val="false"/>
          <w:i w:val="false"/>
          <w:sz w:val="20"/>
        </w:rPr>
        <w:t/>
      </w:r>
    </w:p>
    <w:p>
      <w:pPr>
        <w:pStyle w:val="ab"/>
      </w:pPr>
      <w:r>
        <w:t>发言人1 问：在优化旧动能和开创新局方面，特别是针对人工智能产业发展，应如何进行政策调整？</w:t>
      </w:r>
    </w:p>
    <w:p>
      <w:r>
        <w:rPr>
          <w:rFonts w:ascii="等线(中文正文)" w:hAnsi="等线(中文正文)" w:cs="等线(中文正文)" w:eastAsia="等线(中文正文)"/>
          <w:b w:val="false"/>
          <w:i w:val="false"/>
          <w:sz w:val="20"/>
        </w:rPr>
        <w:t>发言人1 答：重塑旧动能关键在于提质增效，开创新局的核心是推动人工智能产业的发展。建议从制度和行政体系层面强化智能化导向，例如制定国家智能化发展战略纲要，甚至考虑将工业与信息化部改组为工业与智能化部，推动工业智能化发展。同时，落实科技创新与产业创新深度融合，激活民间投资，避免过度依赖政府推动。</w:t>
      </w:r>
    </w:p>
    <w:p>
      <w:r>
        <w:rPr>
          <w:rFonts w:ascii="等线(中文正文)" w:hAnsi="等线(中文正文)" w:cs="等线(中文正文)" w:eastAsia="等线(中文正文)"/>
          <w:b w:val="false"/>
          <w:i w:val="false"/>
          <w:sz w:val="20"/>
        </w:rPr>
        <w:t/>
      </w:r>
    </w:p>
    <w:p>
      <w:pPr>
        <w:pStyle w:val="ab"/>
      </w:pPr>
      <w:r>
        <w:t>发言人1 问：如何激活青年经济活力，以应对K型分化并建立增长成果分享机制？</w:t>
      </w:r>
    </w:p>
    <w:p>
      <w:r>
        <w:rPr>
          <w:rFonts w:ascii="等线(中文正文)" w:hAnsi="等线(中文正文)" w:cs="等线(中文正文)" w:eastAsia="等线(中文正文)"/>
          <w:b w:val="false"/>
          <w:i w:val="false"/>
          <w:sz w:val="20"/>
        </w:rPr>
        <w:t>发言人1 答：要提出青年经济这一抓手，出台一系列政策，如设立3000亿元青年人才发展基金，提升青年经济主体地位。此外，建立增长成果分享机制，公开研讨探索AI及相关应用领域的超额利润的社会共享机制，防止技术红利过度集中。</w:t>
      </w:r>
    </w:p>
    <w:p>
      <w:r>
        <w:rPr>
          <w:rFonts w:ascii="等线(中文正文)" w:hAnsi="等线(中文正文)" w:cs="等线(中文正文)" w:eastAsia="等线(中文正文)"/>
          <w:b w:val="false"/>
          <w:i w:val="false"/>
          <w:sz w:val="20"/>
        </w:rPr>
        <w:t/>
      </w:r>
    </w:p>
    <w:p>
      <w:pPr>
        <w:pStyle w:val="ab"/>
      </w:pPr>
      <w:r>
        <w:t>发言人1 问：如何通过提升消费和优化就业来促进经济增长？</w:t>
      </w:r>
    </w:p>
    <w:p>
      <w:r>
        <w:rPr>
          <w:rFonts w:ascii="等线(中文正文)" w:hAnsi="等线(中文正文)" w:cs="等线(中文正文)" w:eastAsia="等线(中文正文)"/>
          <w:b w:val="false"/>
          <w:i w:val="false"/>
          <w:sz w:val="20"/>
        </w:rPr>
        <w:t>发言人1 答：提升消费方面，除了提高收入和改善预期外，还需消除不合理限制和制度性摩擦，比如减少过度加班以增加可支配时间。在就业方面，由于存在大量非标准工作现象，若实现标准工时制，将需要增加约20%的就业岗位，这对经济增长具有重要意义。</w:t>
      </w:r>
    </w:p>
    <w:p>
      <w:r>
        <w:rPr>
          <w:rFonts w:ascii="等线(中文正文)" w:hAnsi="等线(中文正文)" w:cs="等线(中文正文)" w:eastAsia="等线(中文正文)"/>
          <w:b w:val="false"/>
          <w:i w:val="false"/>
          <w:sz w:val="20"/>
        </w:rPr>
        <w:t/>
      </w:r>
    </w:p>
    <w:p>
      <w:pPr>
        <w:pStyle w:val="ab"/>
      </w:pPr>
      <w:r>
        <w:t>发言人1 问：金融结构优化对当前及未来中国宏观经济的影响是什么？</w:t>
      </w:r>
    </w:p>
    <w:p>
      <w:r>
        <w:rPr>
          <w:rFonts w:ascii="等线(中文正文)" w:hAnsi="等线(中文正文)" w:cs="等线(中文正文)" w:eastAsia="等线(中文正文)"/>
          <w:b w:val="false"/>
          <w:i w:val="false"/>
          <w:sz w:val="20"/>
        </w:rPr>
        <w:t>发言人1 答：金融结构正在经历历史性变革，信贷类资产比重下降，直接融资比重有望提高，金融市场和非银行金融机构的作用将越来越大。调控重点正从过去的银行信贷转向利率调控，同时，货币供应量各层次的变化也反映出实体经济和人们预期的深刻变化。此外，现金为王心态的扩散预示着人们正在重新配置金融资产，这对宏观经济有较大影响。</w:t>
      </w:r>
    </w:p>
    <w:p>
      <w:r>
        <w:rPr>
          <w:rFonts w:ascii="等线(中文正文)" w:hAnsi="等线(中文正文)" w:cs="等线(中文正文)" w:eastAsia="等线(中文正文)"/>
          <w:b w:val="false"/>
          <w:i w:val="false"/>
          <w:sz w:val="20"/>
        </w:rPr>
        <w:t/>
      </w:r>
    </w:p>
    <w:p>
      <w:pPr>
        <w:pStyle w:val="ab"/>
      </w:pPr>
      <w:r>
        <w:t>发言人1 问：银行同业拆放利率下行是一个不好的现象吗？</w:t>
      </w:r>
    </w:p>
    <w:p>
      <w:r>
        <w:rPr>
          <w:rFonts w:ascii="等线(中文正文)" w:hAnsi="等线(中文正文)" w:cs="等线(中文正文)" w:eastAsia="等线(中文正文)"/>
          <w:b w:val="false"/>
          <w:i w:val="false"/>
          <w:sz w:val="20"/>
        </w:rPr>
        <w:t>发言人1 答：是的，银行同业拆放利率下行通常是一个不好的现象，因为它预示着新发放贷款利率可能继续下行，这与当前的货币政策执行情况相关。</w:t>
      </w:r>
    </w:p>
    <w:p>
      <w:r>
        <w:rPr>
          <w:rFonts w:ascii="等线(中文正文)" w:hAnsi="等线(中文正文)" w:cs="等线(中文正文)" w:eastAsia="等线(中文正文)"/>
          <w:b w:val="false"/>
          <w:i w:val="false"/>
          <w:sz w:val="20"/>
        </w:rPr>
        <w:t/>
      </w:r>
    </w:p>
    <w:p>
      <w:pPr>
        <w:pStyle w:val="ab"/>
      </w:pPr>
      <w:r>
        <w:t>发言人1 问：金融结构变化是否获得了共识？</w:t>
      </w:r>
    </w:p>
    <w:p>
      <w:r>
        <w:rPr>
          <w:rFonts w:ascii="等线(中文正文)" w:hAnsi="等线(中文正文)" w:cs="等线(中文正文)" w:eastAsia="等线(中文正文)"/>
          <w:b w:val="false"/>
          <w:i w:val="false"/>
          <w:sz w:val="20"/>
        </w:rPr>
        <w:t>发言人1 答：是的，金融结构的变化已经获得了共识。货币当局认为，银行贷款为主体的间接融资占比持续下降，债券和股票在内的直接融资占比稳步上升，金融结构正在发生深刻且不断优化的变化。</w:t>
      </w:r>
    </w:p>
    <w:p>
      <w:r>
        <w:rPr>
          <w:rFonts w:ascii="等线(中文正文)" w:hAnsi="等线(中文正文)" w:cs="等线(中文正文)" w:eastAsia="等线(中文正文)"/>
          <w:b w:val="false"/>
          <w:i w:val="false"/>
          <w:sz w:val="20"/>
        </w:rPr>
        <w:t/>
      </w:r>
    </w:p>
    <w:p>
      <w:pPr>
        <w:pStyle w:val="ab"/>
      </w:pPr>
      <w:r>
        <w:t>发言人1 问：金融结构变化具体表现在哪些方面？这种金融结构变化意味着什么？</w:t>
      </w:r>
    </w:p>
    <w:p>
      <w:r>
        <w:rPr>
          <w:rFonts w:ascii="等线(中文正文)" w:hAnsi="等线(中文正文)" w:cs="等线(中文正文)" w:eastAsia="等线(中文正文)"/>
          <w:b w:val="false"/>
          <w:i w:val="false"/>
          <w:sz w:val="20"/>
        </w:rPr>
        <w:t>发言人1 答：具体表现为增量上看，20225年贷款占比45%，债券和股票融资合计占比47%，首次超过贷款；存量上，资金更多投向了科技创新领域，如科创板、创业板、北交所等，深户主板中的科技板块对A股总市值增长超过60%。这意味着中国已从增量发展转向高质量发展阶段，贷款降速提质将成为宏观运行的新常态之一。金融结构优化是经济高质量发展的表现，体现了金融服务实体的敏感性和及时性，以及金融供给侧结构性改革的持续深化。</w:t>
      </w:r>
    </w:p>
    <w:p>
      <w:r>
        <w:rPr>
          <w:rFonts w:ascii="等线(中文正文)" w:hAnsi="等线(中文正文)" w:cs="等线(中文正文)" w:eastAsia="等线(中文正文)"/>
          <w:b w:val="false"/>
          <w:i w:val="false"/>
          <w:sz w:val="20"/>
        </w:rPr>
        <w:t/>
      </w:r>
    </w:p>
    <w:p>
      <w:pPr>
        <w:pStyle w:val="ab"/>
      </w:pPr>
      <w:r>
        <w:t>发言人1 问：货币当局对于金融结构转变有何部署？对于资本市场发展的看法是什么？</w:t>
      </w:r>
    </w:p>
    <w:p>
      <w:r>
        <w:rPr>
          <w:rFonts w:ascii="等线(中文正文)" w:hAnsi="等线(中文正文)" w:cs="等线(中文正文)" w:eastAsia="等线(中文正文)"/>
          <w:b w:val="false"/>
          <w:i w:val="false"/>
          <w:sz w:val="20"/>
        </w:rPr>
        <w:t>发言人1 答：货币当局部署包括建设和发展多类别多层次金融市场体系，丰富金融市场业态，深化市场化改革，发挥金融市场价格发现和资源配置作用，法规监管和对外开放等方面的工作。资本市场发展有新的部署，强调慢牛指标，坚持稳中求进，提质增效，推动科技创新和产业创新深度融合，服务中国式现代化和金融强国建设，尤其关注创新创业和资本市场的改革与发展。</w:t>
      </w:r>
    </w:p>
    <w:p>
      <w:r>
        <w:rPr>
          <w:rFonts w:ascii="等线(中文正文)" w:hAnsi="等线(中文正文)" w:cs="等线(中文正文)" w:eastAsia="等线(中文正文)"/>
          <w:b w:val="false"/>
          <w:i w:val="false"/>
          <w:sz w:val="20"/>
        </w:rPr>
        <w:t/>
      </w:r>
    </w:p>
    <w:p>
      <w:pPr>
        <w:pStyle w:val="ab"/>
      </w:pPr>
      <w:r>
        <w:t>发言人1 问：如何看待利率市场化改革的重要性？</w:t>
      </w:r>
    </w:p>
    <w:p>
      <w:r>
        <w:rPr>
          <w:rFonts w:ascii="等线(中文正文)" w:hAnsi="等线(中文正文)" w:cs="等线(中文正文)" w:eastAsia="等线(中文正文)"/>
          <w:b w:val="false"/>
          <w:i w:val="false"/>
          <w:sz w:val="20"/>
        </w:rPr>
        <w:t>发言人1 答：在金融市场大发展背景下，利率市场化的重要性日益凸显。利率政策将发挥越来越大的作用，而利率市场化改革作为长期议题，目前形势要求必须推动其进程。</w:t>
      </w:r>
    </w:p>
    <w:p>
      <w:r>
        <w:rPr>
          <w:rFonts w:ascii="等线(中文正文)" w:hAnsi="等线(中文正文)" w:cs="等线(中文正文)" w:eastAsia="等线(中文正文)"/>
          <w:b w:val="false"/>
          <w:i w:val="false"/>
          <w:sz w:val="20"/>
        </w:rPr>
        <w:t/>
      </w:r>
    </w:p>
    <w:p>
      <w:pPr>
        <w:pStyle w:val="ab"/>
      </w:pPr>
      <w:r>
        <w:t>发言人1 问：利率在金融调控中的作用是什么？</w:t>
      </w:r>
    </w:p>
    <w:p>
      <w:r>
        <w:rPr>
          <w:rFonts w:ascii="等线(中文正文)" w:hAnsi="等线(中文正文)" w:cs="等线(中文正文)" w:eastAsia="等线(中文正文)"/>
          <w:b w:val="false"/>
          <w:i w:val="false"/>
          <w:sz w:val="20"/>
        </w:rPr>
        <w:t>发言人1 答：利率作为信用价格，在金融调控中扮演核心角色。市场利率体系的构建、基准利率的选择以及各类金融市场间的互联互通都对利率的有效调控至关重要。同时，需要加强财政政策与货币政策的协调，包括国库现金管理、国债政策、财政性金融工具以及国有金融机构治理等方面的工作。</w:t>
      </w:r>
    </w:p>
    <w:p>
      <w:r>
        <w:rPr>
          <w:rFonts w:ascii="等线(中文正文)" w:hAnsi="等线(中文正文)" w:cs="等线(中文正文)" w:eastAsia="等线(中文正文)"/>
          <w:b w:val="false"/>
          <w:i w:val="false"/>
          <w:sz w:val="20"/>
        </w:rPr>
        <w:t/>
      </w:r>
    </w:p>
    <w:p>
      <w:pPr>
        <w:pStyle w:val="ab"/>
      </w:pPr>
      <w:r>
        <w:t>发言人1 问：在金融市场的结构变化中，现有的金融工具和利率调控机制是否适应这种变化？刘世锦教授的演讲主题是什么？</w:t>
      </w:r>
    </w:p>
    <w:p>
      <w:r>
        <w:rPr>
          <w:rFonts w:ascii="等线(中文正文)" w:hAnsi="等线(中文正文)" w:cs="等线(中文正文)" w:eastAsia="等线(中文正文)"/>
          <w:b w:val="false"/>
          <w:i w:val="false"/>
          <w:sz w:val="20"/>
        </w:rPr>
        <w:t>发言人1 答：目前的金融工具和利率调控机制还没有完全适应金融市场结构变化的要求。刘世锦教授的演讲主题是深化储蓄消费机制的改革，尽快扭转供强需弱的不平衡状态。</w:t>
      </w:r>
    </w:p>
    <w:p>
      <w:r>
        <w:rPr>
          <w:rFonts w:ascii="等线(中文正文)" w:hAnsi="等线(中文正文)" w:cs="等线(中文正文)" w:eastAsia="等线(中文正文)"/>
          <w:b w:val="false"/>
          <w:i w:val="false"/>
          <w:sz w:val="20"/>
        </w:rPr>
        <w:t/>
      </w:r>
    </w:p>
    <w:p>
      <w:pPr>
        <w:pStyle w:val="ab"/>
      </w:pPr>
      <w:r>
        <w:t>发言人1 问：供强需弱的现象具体体现在哪些方面？</w:t>
      </w:r>
    </w:p>
    <w:p>
      <w:r>
        <w:rPr>
          <w:rFonts w:ascii="等线(中文正文)" w:hAnsi="等线(中文正文)" w:cs="等线(中文正文)" w:eastAsia="等线(中文正文)"/>
          <w:b w:val="false"/>
          <w:i w:val="false"/>
          <w:sz w:val="20"/>
        </w:rPr>
        <w:t>发言人1 答：供强需弱的现象表现为经济增长承压、出口超常规增长但内需不足加剧，投资去年全年为负增长，信贷增长放缓，制造业和产业链具有全球竞争优势但产业过剩严重等。</w:t>
      </w:r>
    </w:p>
    <w:p>
      <w:r>
        <w:rPr>
          <w:rFonts w:ascii="等线(中文正文)" w:hAnsi="等线(中文正文)" w:cs="等线(中文正文)" w:eastAsia="等线(中文正文)"/>
          <w:b w:val="false"/>
          <w:i w:val="false"/>
          <w:sz w:val="20"/>
        </w:rPr>
        <w:t/>
      </w:r>
    </w:p>
    <w:p>
      <w:pPr>
        <w:pStyle w:val="ab"/>
      </w:pPr>
      <w:r>
        <w:t>发言人1 问：供强需弱与经济增长的关系是什么？终端需求不足带来的问题有哪些？</w:t>
      </w:r>
    </w:p>
    <w:p>
      <w:r>
        <w:rPr>
          <w:rFonts w:ascii="等线(中文正文)" w:hAnsi="等线(中文正文)" w:cs="等线(中文正文)" w:eastAsia="等线(中文正文)"/>
          <w:b w:val="false"/>
          <w:i w:val="false"/>
          <w:sz w:val="20"/>
        </w:rPr>
        <w:t>发言人1 答：供强需弱主要体现在终端需求不足上，即消费、服务消费及非生产性投资相对疲软。中国消费占GDP比重比国际平均水平低20个百分点，这是由于非生产性投资（房地产和基建）支撑后期出现问题，导致终端需求放缓和收缩。终端需求不足导致了宏观经济减速、产能过剩加剧、名义增长率低于实际增长率。同时，由于出口带动下的工业增加值看似稳定，实则是通过在国外形成储蓄而非在国内消费，从而进一步加剧了国内消费不振的问题。</w:t>
      </w:r>
    </w:p>
    <w:p>
      <w:r>
        <w:rPr>
          <w:rFonts w:ascii="等线(中文正文)" w:hAnsi="等线(中文正文)" w:cs="等线(中文正文)" w:eastAsia="等线(中文正文)"/>
          <w:b w:val="false"/>
          <w:i w:val="false"/>
          <w:sz w:val="20"/>
        </w:rPr>
        <w:t/>
      </w:r>
    </w:p>
    <w:p>
      <w:pPr>
        <w:pStyle w:val="ab"/>
      </w:pPr>
      <w:r>
        <w:t>发言人1 问：高储蓄与低消费现象的原因是什么？</w:t>
      </w:r>
    </w:p>
    <w:p>
      <w:r>
        <w:rPr>
          <w:rFonts w:ascii="等线(中文正文)" w:hAnsi="等线(中文正文)" w:cs="等线(中文正文)" w:eastAsia="等线(中文正文)"/>
          <w:b w:val="false"/>
          <w:i w:val="false"/>
          <w:sz w:val="20"/>
        </w:rPr>
        <w:t>发言人1 答：高储蓄与低消费的原因包括：企业储蓄率高，部分源于投资需求大和融资难贵导致企业自我融资增加留存；居民储蓄率提高主要源于高收入群体储蓄较多，而低收入群体消费倾向高但收入受限。此外，政府储蓄转为负值，使得企业储蓄和居民储蓄成为主要储蓄来源。</w:t>
      </w:r>
    </w:p>
    <w:p>
      <w:r>
        <w:rPr>
          <w:rFonts w:ascii="等线(中文正文)" w:hAnsi="等线(中文正文)" w:cs="等线(中文正文)" w:eastAsia="等线(中文正文)"/>
          <w:b w:val="false"/>
          <w:i w:val="false"/>
          <w:sz w:val="20"/>
        </w:rPr>
        <w:t/>
      </w:r>
    </w:p>
    <w:p>
      <w:pPr>
        <w:pStyle w:val="ab"/>
      </w:pPr>
      <w:r>
        <w:t>发言人1 问：如何解决供强需弱问题并促进经济恢复活力？</w:t>
      </w:r>
    </w:p>
    <w:p>
      <w:r>
        <w:rPr>
          <w:rFonts w:ascii="等线(中文正文)" w:hAnsi="等线(中文正文)" w:cs="等线(中文正文)" w:eastAsia="等线(中文正文)"/>
          <w:b w:val="false"/>
          <w:i w:val="false"/>
          <w:sz w:val="20"/>
        </w:rPr>
        <w:t>发言人1 答：解决供强需弱问题的关键在于改革储蓄消费形成机制，实质性降低储蓄率并增加终端需求。建议在短期内将全社会储蓄率降至40%以下，企业储蓄率降至20%以下，通过增加企业分红，部分企业储蓄转化为消费，从而提升消费率至60%以上。同时，研究国有资本划拨社保基金的可能性，以促进储蓄向消费的有效转化，并推动民营企业提高分红水平。</w:t>
      </w:r>
    </w:p>
    <w:p>
      <w:r>
        <w:rPr>
          <w:rFonts w:ascii="等线(中文正文)" w:hAnsi="等线(中文正文)" w:cs="等线(中文正文)" w:eastAsia="等线(中文正文)"/>
          <w:b w:val="false"/>
          <w:i w:val="false"/>
          <w:sz w:val="20"/>
        </w:rPr>
        <w:t/>
      </w:r>
    </w:p>
    <w:p>
      <w:pPr>
        <w:pStyle w:val="ab"/>
      </w:pPr>
      <w:r>
        <w:t>发言人1 问：在抑制贫富差距方面，下一步我们应该如何进行税收制度改革？</w:t>
      </w:r>
    </w:p>
    <w:p>
      <w:r>
        <w:rPr>
          <w:rFonts w:ascii="等线(中文正文)" w:hAnsi="等线(中文正文)" w:cs="等线(中文正文)" w:eastAsia="等线(中文正文)"/>
          <w:b w:val="false"/>
          <w:i w:val="false"/>
          <w:sz w:val="20"/>
        </w:rPr>
        <w:t>发言人1 答：我们应该稳步推进税收制度改革，目标是使基尼系数逐步降低至0.4或以下水平，以提升社会消费倾向并减少住户出席率。重点在于对高收入阶层进行合理征税，尤其是个税和财产税。这不仅不会影响高收入阶层的信心，反而会让政府更有动力去保护这部分人群的财产安全。同时，宏观调控政策应由供给侧转向消费侧，将50%以上的宏观刺激政策支出用于解决供强需弱问题，尤其是强化中低收入群体的社会保障体系建设。</w:t>
      </w:r>
    </w:p>
    <w:p>
      <w:r>
        <w:rPr>
          <w:rFonts w:ascii="等线(中文正文)" w:hAnsi="等线(中文正文)" w:cs="等线(中文正文)" w:eastAsia="等线(中文正文)"/>
          <w:b w:val="false"/>
          <w:i w:val="false"/>
          <w:sz w:val="20"/>
        </w:rPr>
        <w:t/>
      </w:r>
    </w:p>
    <w:p>
      <w:pPr>
        <w:pStyle w:val="ab"/>
      </w:pPr>
      <w:r>
        <w:t>发言人1 问：消费如何驱动经济增长？</w:t>
      </w:r>
    </w:p>
    <w:p>
      <w:r>
        <w:rPr>
          <w:rFonts w:ascii="等线(中文正文)" w:hAnsi="等线(中文正文)" w:cs="等线(中文正文)" w:eastAsia="等线(中文正文)"/>
          <w:b w:val="false"/>
          <w:i w:val="false"/>
          <w:sz w:val="20"/>
        </w:rPr>
        <w:t>发言人1 答：消费可以通过以下三个途径驱动经济增长：首先，增加中低收入群体的收入和消费，扩大对过剩产能的市场需求；其次，让中低收入阶层分享改革开放的成果；最后，中低收入群体消费的扩大，特别是发展型消费，实际上是一种人力资本投资，它能够支撑创新驱动。</w:t>
      </w:r>
    </w:p>
    <w:p>
      <w:r>
        <w:rPr>
          <w:rFonts w:ascii="等线(中文正文)" w:hAnsi="等线(中文正文)" w:cs="等线(中文正文)" w:eastAsia="等线(中文正文)"/>
          <w:b w:val="false"/>
          <w:i w:val="false"/>
          <w:sz w:val="20"/>
        </w:rPr>
        <w:t/>
      </w:r>
    </w:p>
    <w:p>
      <w:pPr>
        <w:pStyle w:val="ab"/>
      </w:pPr>
      <w:r>
        <w:t>发言人1 问：如何解决住房和社保领域的短板问题以促进消费？</w:t>
      </w:r>
    </w:p>
    <w:p>
      <w:r>
        <w:rPr>
          <w:rFonts w:ascii="等线(中文正文)" w:hAnsi="等线(中文正文)" w:cs="等线(中文正文)" w:eastAsia="等线(中文正文)"/>
          <w:b w:val="false"/>
          <w:i w:val="false"/>
          <w:sz w:val="20"/>
        </w:rPr>
        <w:t>发言人1 答：解决农村居民住房错配问题，通过住房保障政策和城乡资源重组配置，加快解决农民工等新市民的住房困难，并为房地产企业企稳并恢复正常增长提供真实需求。此外，通过国际化社保财政补贴、短期资金刺激政策支持以及社保缴费等方式，争取在十五五期间将城乡居民基本养老保险人均养老金提高至每月1000元左右，这可以拉动GDP增长0.3到0.5个百分点。</w:t>
      </w:r>
    </w:p>
    <w:p>
      <w:r>
        <w:rPr>
          <w:rFonts w:ascii="等线(中文正文)" w:hAnsi="等线(中文正文)" w:cs="等线(中文正文)" w:eastAsia="等线(中文正文)"/>
          <w:b w:val="false"/>
          <w:i w:val="false"/>
          <w:sz w:val="20"/>
        </w:rPr>
        <w:t/>
      </w:r>
    </w:p>
    <w:p>
      <w:pPr>
        <w:pStyle w:val="ab"/>
      </w:pPr>
      <w:r>
        <w:t>发言人1 问：如何扭转供强需弱的经济状况？</w:t>
      </w:r>
    </w:p>
    <w:p>
      <w:r>
        <w:rPr>
          <w:rFonts w:ascii="等线(中文正文)" w:hAnsi="等线(中文正文)" w:cs="等线(中文正文)" w:eastAsia="等线(中文正文)"/>
          <w:b w:val="false"/>
          <w:i w:val="false"/>
          <w:sz w:val="20"/>
        </w:rPr>
        <w:t>发言人1 答：要解决供强需弱的问题，需从推动储蓄和消费形成机制改革入手，降低消费率以提升消费率。这需要新一轮的思想解放和社会共识形成，推动供给端带动需求，形成供需动态复苏的新循环，稳住宏观经济大局，并为经济社会长期稳定发展提供创新驱动和可持续的增长动能。</w:t>
      </w:r>
    </w:p>
    <w:p>
      <w:r>
        <w:rPr>
          <w:rFonts w:ascii="等线(中文正文)" w:hAnsi="等线(中文正文)" w:cs="等线(中文正文)" w:eastAsia="等线(中文正文)"/>
          <w:b w:val="false"/>
          <w:i w:val="false"/>
          <w:sz w:val="20"/>
        </w:rPr>
        <w:t/>
      </w:r>
    </w:p>
    <w:p>
      <w:pPr>
        <w:pStyle w:val="ab"/>
      </w:pPr>
      <w:r>
        <w:t>发言人1 问：对于全球经济和资本市场现状的看法是什么？</w:t>
      </w:r>
    </w:p>
    <w:p>
      <w:r>
        <w:rPr>
          <w:rFonts w:ascii="等线(中文正文)" w:hAnsi="等线(中文正文)" w:cs="等线(中文正文)" w:eastAsia="等线(中文正文)"/>
          <w:b w:val="false"/>
          <w:i w:val="false"/>
          <w:sz w:val="20"/>
        </w:rPr>
        <w:t>发言人1 答：过去两年AI是资本市场的主要趋势，尤其是在韩国市场表现突出。尽管地缘政治风险有所增加，但预计下半年该风险可能会有所收敛，尤其是美国中期选举的考量可能会促使中东战争尽快结束，这对全球市场是利好消息。目前，全球市场尤其是对AI领域的追捧热情持续高涨，而中国市场也在逐步改善，表现为股市和新兴产业的发展。此外，中国金融体系向好为中国在AI领域的进一步发展提供了重要条件。</w:t>
      </w:r>
    </w:p>
    <w:p>
      <w:r>
        <w:rPr>
          <w:rFonts w:ascii="等线(中文正文)" w:hAnsi="等线(中文正文)" w:cs="等线(中文正文)" w:eastAsia="等线(中文正文)"/>
          <w:b w:val="false"/>
          <w:i w:val="false"/>
          <w:sz w:val="20"/>
        </w:rPr>
        <w:t/>
      </w:r>
    </w:p>
    <w:p>
      <w:pPr>
        <w:pStyle w:val="ab"/>
      </w:pPr>
      <w:r>
        <w:t>发言人1 问：AI对劳动力市场的影响是怎样的？</w:t>
      </w:r>
    </w:p>
    <w:p>
      <w:r>
        <w:rPr>
          <w:rFonts w:ascii="等线(中文正文)" w:hAnsi="等线(中文正文)" w:cs="等线(中文正文)" w:eastAsia="等线(中文正文)"/>
          <w:b w:val="false"/>
          <w:i w:val="false"/>
          <w:sz w:val="20"/>
        </w:rPr>
        <w:t>发言人1 答：AI确实对劳动力市场产生了积极影响，尤其是在人口递减的国家，如面临人口出生率下滑的中国。AI能够替代很多工作，帮助解决就业问题。不同国家在AI发展中的受益和受影响程度存在分化。</w:t>
      </w:r>
    </w:p>
    <w:p>
      <w:r>
        <w:rPr>
          <w:rFonts w:ascii="等线(中文正文)" w:hAnsi="等线(中文正文)" w:cs="等线(中文正文)" w:eastAsia="等线(中文正文)"/>
          <w:b w:val="false"/>
          <w:i w:val="false"/>
          <w:sz w:val="20"/>
        </w:rPr>
        <w:t/>
      </w:r>
    </w:p>
    <w:p>
      <w:pPr>
        <w:pStyle w:val="ab"/>
      </w:pPr>
      <w:r>
        <w:t>发言人1 问：目前市场对于AI投资是否存在泡沫有何看法？对于AI投资的资金来源，中美两国有何差异？</w:t>
      </w:r>
    </w:p>
    <w:p>
      <w:r>
        <w:rPr>
          <w:rFonts w:ascii="等线(中文正文)" w:hAnsi="等线(中文正文)" w:cs="等线(中文正文)" w:eastAsia="等线(中文正文)"/>
          <w:b w:val="false"/>
          <w:i w:val="false"/>
          <w:sz w:val="20"/>
        </w:rPr>
        <w:t>发言人1 答：根据资本市场分析框架，目前AI领域的投资还未达到全面泡沫状态，但与2000年相比，需求层面可能提前1到2年出现类似情况。尽管如此，由于AI科技公司特别是龙头公司的盈利水平和杠杆率较低，相比过去，现在的情况并不构成明显的泡沫。中国AI投资约五成来自政府，这使得中国在成本和回报方面具有更强的承受力。而美国在资本市场遇到重大波折时，大型和中型小型AI公司的融资会面临巨大挑战。</w:t>
      </w:r>
    </w:p>
    <w:p>
      <w:r>
        <w:rPr>
          <w:rFonts w:ascii="等线(中文正文)" w:hAnsi="等线(中文正文)" w:cs="等线(中文正文)" w:eastAsia="等线(中文正文)"/>
          <w:b w:val="false"/>
          <w:i w:val="false"/>
          <w:sz w:val="20"/>
        </w:rPr>
        <w:t/>
      </w:r>
    </w:p>
    <w:p>
      <w:pPr>
        <w:pStyle w:val="ab"/>
      </w:pPr>
      <w:r>
        <w:t>发言人1 问：美国宏观政策如何影响其AI投资？</w:t>
      </w:r>
    </w:p>
    <w:p>
      <w:r>
        <w:rPr>
          <w:rFonts w:ascii="等线(中文正文)" w:hAnsi="等线(中文正文)" w:cs="等线(中文正文)" w:eastAsia="等线(中文正文)"/>
          <w:b w:val="false"/>
          <w:i w:val="false"/>
          <w:sz w:val="20"/>
        </w:rPr>
        <w:t>发言人1 答：当前美国通胀水平接近年内高点，但利率水平对美国科技企业的影响有限，尤其是通过资本市场融资方面。不过，较高的通胀在一定程度上压低了实际融资成本，而对消费的影响则表现为科技强消费弱的现象。</w:t>
      </w:r>
    </w:p>
    <w:p>
      <w:r>
        <w:rPr>
          <w:rFonts w:ascii="等线(中文正文)" w:hAnsi="等线(中文正文)" w:cs="等线(中文正文)" w:eastAsia="等线(中文正文)"/>
          <w:b w:val="false"/>
          <w:i w:val="false"/>
          <w:sz w:val="20"/>
        </w:rPr>
        <w:t/>
      </w:r>
    </w:p>
    <w:p>
      <w:pPr>
        <w:pStyle w:val="ab"/>
      </w:pPr>
      <w:r>
        <w:t>发言人1 问：中美两国经济特征有何相似之处？</w:t>
      </w:r>
    </w:p>
    <w:p>
      <w:r>
        <w:rPr>
          <w:rFonts w:ascii="等线(中文正文)" w:hAnsi="等线(中文正文)" w:cs="等线(中文正文)" w:eastAsia="等线(中文正文)"/>
          <w:b w:val="false"/>
          <w:i w:val="false"/>
          <w:sz w:val="20"/>
        </w:rPr>
        <w:t>发言人1 答：中美两国都表现出科技强、内需弱的特点，以及企业稳而居民弱的现象。中美两国在经济增长模式上存在一定的分化，中国政府主导的产业政策对AI投资的支持较强，表现出一定的韧性。</w:t>
      </w:r>
    </w:p>
    <w:p>
      <w:r>
        <w:rPr>
          <w:rFonts w:ascii="等线(中文正文)" w:hAnsi="等线(中文正文)" w:cs="等线(中文正文)" w:eastAsia="等线(中文正文)"/>
          <w:b w:val="false"/>
          <w:i w:val="false"/>
          <w:sz w:val="20"/>
        </w:rPr>
        <w:t/>
      </w:r>
    </w:p>
    <w:p>
      <w:pPr>
        <w:pStyle w:val="ab"/>
      </w:pPr>
      <w:r>
        <w:t>发言人1 问：AI发展如何影响全球各国经济表现？</w:t>
      </w:r>
    </w:p>
    <w:p>
      <w:r>
        <w:rPr>
          <w:rFonts w:ascii="等线(中文正文)" w:hAnsi="等线(中文正文)" w:cs="等线(中文正文)" w:eastAsia="等线(中文正文)"/>
          <w:b w:val="false"/>
          <w:i w:val="false"/>
          <w:sz w:val="20"/>
        </w:rPr>
        <w:t>发言人1 答：AI在欧洲由于错过发展机遇，尤其是错过了像ASML这样的顶级AI公司，导致其在资本市场表现不佳，市值远低于美国同领域的公司。日本虽已走出通缩，但科技创新上相对乏力，而韩国却在较小的经济体中实现了显著的科技创新和经济发展。</w:t>
      </w:r>
    </w:p>
    <w:p>
      <w:r>
        <w:rPr>
          <w:rFonts w:ascii="等线(中文正文)" w:hAnsi="等线(中文正文)" w:cs="等线(中文正文)" w:eastAsia="等线(中文正文)"/>
          <w:b w:val="false"/>
          <w:i w:val="false"/>
          <w:sz w:val="20"/>
        </w:rPr>
        <w:t/>
      </w:r>
    </w:p>
    <w:p>
      <w:pPr>
        <w:pStyle w:val="ab"/>
      </w:pPr>
      <w:r>
        <w:t>发言人1 问：当前我国需要什么样的经济增长速度才能实现2035年目标？</w:t>
      </w:r>
    </w:p>
    <w:p>
      <w:r>
        <w:rPr>
          <w:rFonts w:ascii="等线(中文正文)" w:hAnsi="等线(中文正文)" w:cs="等线(中文正文)" w:eastAsia="等线(中文正文)"/>
          <w:b w:val="false"/>
          <w:i w:val="false"/>
          <w:sz w:val="20"/>
        </w:rPr>
        <w:t>发言人1 答：按照官方预期，到2035年我国人均GDP需翻一番达到约22000美元水平。基于此目标倒推，每年的经济增长速度应当是符合逻辑且连续的，以确保在2020年基础上实现这一翻一番的目标。</w:t>
      </w:r>
    </w:p>
    <w:p>
      <w:r>
        <w:rPr>
          <w:rFonts w:ascii="等线(中文正文)" w:hAnsi="等线(中文正文)" w:cs="等线(中文正文)" w:eastAsia="等线(中文正文)"/>
          <w:b w:val="false"/>
          <w:i w:val="false"/>
          <w:sz w:val="20"/>
        </w:rPr>
        <w:t/>
      </w:r>
    </w:p>
    <w:p>
      <w:pPr>
        <w:pStyle w:val="ab"/>
      </w:pPr>
      <w:r>
        <w:t>发言人1 问：人工智能如何提高劳动生产率？</w:t>
      </w:r>
    </w:p>
    <w:p>
      <w:r>
        <w:rPr>
          <w:rFonts w:ascii="等线(中文正文)" w:hAnsi="等线(中文正文)" w:cs="等线(中文正文)" w:eastAsia="等线(中文正文)"/>
          <w:b w:val="false"/>
          <w:i w:val="false"/>
          <w:sz w:val="20"/>
        </w:rPr>
        <w:t>发言人1 答：人工智能提高劳动生产率主要通过两个途径。一是资源配置效应，人工智能通过数据、程序、算法和模型实现最佳配置效果，避免试错，提升资源配置效率。二是创造性破坏效应，人工智能带来的创新极大地提高了生产率，同时加剧了优胜劣汰的市场机制，淘汰效率低下者，促进生产力整体提高。</w:t>
      </w:r>
    </w:p>
    <w:p>
      <w:r>
        <w:rPr>
          <w:rFonts w:ascii="等线(中文正文)" w:hAnsi="等线(中文正文)" w:cs="等线(中文正文)" w:eastAsia="等线(中文正文)"/>
          <w:b w:val="false"/>
          <w:i w:val="false"/>
          <w:sz w:val="20"/>
        </w:rPr>
        <w:t/>
      </w:r>
    </w:p>
    <w:p>
      <w:pPr>
        <w:pStyle w:val="ab"/>
      </w:pPr>
      <w:r>
        <w:t>发言人1 问：人工智能对劳动生产率的提升有何影响？</w:t>
      </w:r>
    </w:p>
    <w:p>
      <w:r>
        <w:rPr>
          <w:rFonts w:ascii="等线(中文正文)" w:hAnsi="等线(中文正文)" w:cs="等线(中文正文)" w:eastAsia="等线(中文正文)"/>
          <w:b w:val="false"/>
          <w:i w:val="false"/>
          <w:sz w:val="20"/>
        </w:rPr>
        <w:t>发言人1 答：人工智能的发展将大幅度出乎意料地提高劳动生产率，尽管目前尚未在国民经济统计数据中体现。预计在未来五年内，通过人工智能带来的资源重新配置效应，中国的经济增长速度可以实现每年4.4%至4.8%，从而有望达到2035年的目标。这意味着在人工智能条件下，我们的潜在增长率和生产率增长能力都有可能上一个台阶。</w:t>
      </w:r>
    </w:p>
    <w:p>
      <w:r>
        <w:rPr>
          <w:rFonts w:ascii="等线(中文正文)" w:hAnsi="等线(中文正文)" w:cs="等线(中文正文)" w:eastAsia="等线(中文正文)"/>
          <w:b w:val="false"/>
          <w:i w:val="false"/>
          <w:sz w:val="20"/>
        </w:rPr>
        <w:t/>
      </w:r>
    </w:p>
    <w:p>
      <w:pPr>
        <w:pStyle w:val="ab"/>
      </w:pPr>
      <w:r>
        <w:t>发言人1 问：劳动生产率增长速度的变化趋势是怎样的？</w:t>
      </w:r>
    </w:p>
    <w:p>
      <w:r>
        <w:rPr>
          <w:rFonts w:ascii="等线(中文正文)" w:hAnsi="等线(中文正文)" w:cs="等线(中文正文)" w:eastAsia="等线(中文正文)"/>
          <w:b w:val="false"/>
          <w:i w:val="false"/>
          <w:sz w:val="20"/>
        </w:rPr>
        <w:t>发言人1 答：改革开放以来，劳动生产率的增长速度经历了不断提高的过程，但随着人口红利消失，进入经济增长新常态，增长速度有所下行。这表现为一个U字型轨迹，意味着传统意义上的劳动生产力源泉逐渐减弱，而人工智能提供了一个更精细、颗粒度更小的重新配置资源机会，有望打破原有预测的潜在增长率速度并创造新的经济增长周期。</w:t>
      </w:r>
    </w:p>
    <w:p>
      <w:r>
        <w:rPr>
          <w:rFonts w:ascii="等线(中文正文)" w:hAnsi="等线(中文正文)" w:cs="等线(中文正文)" w:eastAsia="等线(中文正文)"/>
          <w:b w:val="false"/>
          <w:i w:val="false"/>
          <w:sz w:val="20"/>
        </w:rPr>
        <w:t/>
      </w:r>
    </w:p>
    <w:p>
      <w:pPr>
        <w:pStyle w:val="ab"/>
      </w:pPr>
      <w:r>
        <w:t>发言人1 问：如何看待人工智能引起的“生产率悖论”？</w:t>
      </w:r>
    </w:p>
    <w:p>
      <w:r>
        <w:rPr>
          <w:rFonts w:ascii="等线(中文正文)" w:hAnsi="等线(中文正文)" w:cs="等线(中文正文)" w:eastAsia="等线(中文正文)"/>
          <w:b w:val="false"/>
          <w:i w:val="false"/>
          <w:sz w:val="20"/>
        </w:rPr>
        <w:t>发言人1 答：“生产率悖论”是指虽然普遍谈论人工智能，但在统计中却看不到劳动生产率的显著提高。这主要是因为人工智能目前主要在不断创造新模型和工具，其在经济各领域的渗透度还不高。解决此悖论的关键在于关注企业和劳动者能否有效采用新技术，以及如何通过宏观经济政策确保在提高劳动生产率的同时保障就业和民生。</w:t>
      </w:r>
    </w:p>
    <w:p>
      <w:r>
        <w:rPr>
          <w:rFonts w:ascii="等线(中文正文)" w:hAnsi="等线(中文正文)" w:cs="等线(中文正文)" w:eastAsia="等线(中文正文)"/>
          <w:b w:val="false"/>
          <w:i w:val="false"/>
          <w:sz w:val="20"/>
        </w:rPr>
        <w:t/>
      </w:r>
    </w:p>
    <w:p>
      <w:pPr>
        <w:pStyle w:val="ab"/>
      </w:pPr>
      <w:r>
        <w:t>发言人1 问：人工智能对就业市场的影响具体体现在哪些方面？</w:t>
      </w:r>
    </w:p>
    <w:p>
      <w:r>
        <w:rPr>
          <w:rFonts w:ascii="等线(中文正文)" w:hAnsi="等线(中文正文)" w:cs="等线(中文正文)" w:eastAsia="等线(中文正文)"/>
          <w:b w:val="false"/>
          <w:i w:val="false"/>
          <w:sz w:val="20"/>
        </w:rPr>
        <w:t>发言人1 答：人工智能对就业市场的影响体现在两个具体效应上：一是分母效应，即减少劳动投入也可能导致劳动生产率提高，但如果所有企业都减少劳动投入，则可能导致就业破坏；二是分子效应，即努力增加劳动产出，但若新增产能无法与需求相匹配，将出现供给过剩、消费不足的现象。此外，人工智能还加大了结构性就业矛盾，要求积极实施升级版就业政策，并投资于人以改善收入分配，应对未来就业冲击。</w:t>
      </w:r>
    </w:p>
    <w:p>
      <w:r>
        <w:rPr>
          <w:rFonts w:ascii="等线(中文正文)" w:hAnsi="等线(中文正文)" w:cs="等线(中文正文)" w:eastAsia="等线(中文正文)"/>
          <w:b w:val="false"/>
          <w:i w:val="false"/>
          <w:sz w:val="20"/>
        </w:rPr>
        <w:t/>
      </w:r>
    </w:p>
    <w:p>
      <w:pPr>
        <w:pStyle w:val="ab"/>
      </w:pPr>
      <w:r>
        <w:t>发言人1 问：现代意义上的再分配主要指哪两个方面？</w:t>
      </w:r>
    </w:p>
    <w:p>
      <w:r>
        <w:rPr>
          <w:rFonts w:ascii="等线(中文正文)" w:hAnsi="等线(中文正文)" w:cs="等线(中文正文)" w:eastAsia="等线(中文正文)"/>
          <w:b w:val="false"/>
          <w:i w:val="false"/>
          <w:sz w:val="20"/>
        </w:rPr>
        <w:t>发言人1 答：现代意义上的再分配主要包括税收和转移支付。其中，转移支付涵盖范围更广，包括政府的社会性支出，近年来其在解决问题上的贡献率在加大。</w:t>
      </w:r>
    </w:p>
    <w:p>
      <w:r>
        <w:rPr>
          <w:rFonts w:ascii="等线(中文正文)" w:hAnsi="等线(中文正文)" w:cs="等线(中文正文)" w:eastAsia="等线(中文正文)"/>
          <w:b w:val="false"/>
          <w:i w:val="false"/>
          <w:sz w:val="20"/>
        </w:rPr>
        <w:t/>
      </w:r>
    </w:p>
    <w:p>
      <w:pPr>
        <w:pStyle w:val="ab"/>
      </w:pPr>
      <w:r>
        <w:t>发言人1 问：对于中国人而言，投资于人的意义是什么？</w:t>
      </w:r>
    </w:p>
    <w:p>
      <w:r>
        <w:rPr>
          <w:rFonts w:ascii="等线(中文正文)" w:hAnsi="等线(中文正文)" w:cs="等线(中文正文)" w:eastAsia="等线(中文正文)"/>
          <w:b w:val="false"/>
          <w:i w:val="false"/>
          <w:sz w:val="20"/>
        </w:rPr>
        <w:t>发言人1 答：投资于人在中国具有特别重要的意义，因为这可以明显改善收入分配并促进经济增长。过去几年来，投资于人的国民支出占比逐渐提高，同时经济系数下降和收入分配得到改善。</w:t>
      </w:r>
    </w:p>
    <w:p>
      <w:r>
        <w:rPr>
          <w:rFonts w:ascii="等线(中文正文)" w:hAnsi="等线(中文正文)" w:cs="等线(中文正文)" w:eastAsia="等线(中文正文)"/>
          <w:b w:val="false"/>
          <w:i w:val="false"/>
          <w:sz w:val="20"/>
        </w:rPr>
        <w:t/>
      </w:r>
    </w:p>
    <w:p>
      <w:pPr>
        <w:pStyle w:val="ab"/>
      </w:pPr>
      <w:r>
        <w:t>发言人1 问：如何应对人口老龄化带来的挑战？</w:t>
      </w:r>
    </w:p>
    <w:p>
      <w:r>
        <w:rPr>
          <w:rFonts w:ascii="等线(中文正文)" w:hAnsi="等线(中文正文)" w:cs="等线(中文正文)" w:eastAsia="等线(中文正文)"/>
          <w:b w:val="false"/>
          <w:i w:val="false"/>
          <w:sz w:val="20"/>
        </w:rPr>
        <w:t>发言人1 答：应对人口老龄化不仅需要寻找产业机会以打破需求制约，还应解决“照顾经济”问题，比如减轻生育意愿下降和老年人无人照顾的压力。</w:t>
      </w:r>
    </w:p>
    <w:p>
      <w:r>
        <w:rPr>
          <w:rFonts w:ascii="等线(中文正文)" w:hAnsi="等线(中文正文)" w:cs="等线(中文正文)" w:eastAsia="等线(中文正文)"/>
          <w:b w:val="false"/>
          <w:i w:val="false"/>
          <w:sz w:val="20"/>
        </w:rPr>
        <w:t/>
      </w:r>
    </w:p>
    <w:p>
      <w:pPr>
        <w:pStyle w:val="ab"/>
      </w:pPr>
      <w:r>
        <w:t>发言人1 问：人工智能在哪些方面可以发挥作用？</w:t>
      </w:r>
    </w:p>
    <w:p>
      <w:r>
        <w:rPr>
          <w:rFonts w:ascii="等线(中文正文)" w:hAnsi="等线(中文正文)" w:cs="等线(中文正文)" w:eastAsia="等线(中文正文)"/>
          <w:b w:val="false"/>
          <w:i w:val="false"/>
          <w:sz w:val="20"/>
        </w:rPr>
        <w:t>发言人1 答：人工智能可以应用于解决孩子无人照料的问题（如三岁托幼成本）、老年人照顾问题，通过替代家务劳动，将大量无偿劳动转化为有偿劳动，从而推动经济增长并创造就业岗位。</w:t>
      </w:r>
    </w:p>
    <w:p>
      <w:r>
        <w:rPr>
          <w:rFonts w:ascii="等线(中文正文)" w:hAnsi="等线(中文正文)" w:cs="等线(中文正文)" w:eastAsia="等线(中文正文)"/>
          <w:b w:val="false"/>
          <w:i w:val="false"/>
          <w:sz w:val="20"/>
        </w:rPr>
        <w:t/>
      </w:r>
    </w:p>
    <w:p>
      <w:pPr>
        <w:pStyle w:val="ab"/>
      </w:pPr>
      <w:r>
        <w:t>发言人1 问：当前宏观经济分析需要何种视角？</w:t>
      </w:r>
    </w:p>
    <w:p>
      <w:r>
        <w:rPr>
          <w:rFonts w:ascii="等线(中文正文)" w:hAnsi="等线(中文正文)" w:cs="等线(中文正文)" w:eastAsia="等线(中文正文)"/>
          <w:b w:val="false"/>
          <w:i w:val="false"/>
          <w:sz w:val="20"/>
        </w:rPr>
        <w:t>发言人1 答：当前宏观经济分析需要从微观层面看宏观问题，即从个体消费者和厂商的行为出发理解整体经济现象，因为仅从宏观层面无法解释目前存在的结构性失衡问题。</w:t>
      </w:r>
    </w:p>
    <w:p>
      <w:r>
        <w:rPr>
          <w:rFonts w:ascii="等线(中文正文)" w:hAnsi="等线(中文正文)" w:cs="等线(中文正文)" w:eastAsia="等线(中文正文)"/>
          <w:b w:val="false"/>
          <w:i w:val="false"/>
          <w:sz w:val="20"/>
        </w:rPr>
        <w:t/>
      </w:r>
    </w:p>
    <w:p>
      <w:pPr>
        <w:pStyle w:val="ab"/>
      </w:pPr>
      <w:r>
        <w:t>发言人1 问：微观层面如何解释当前的宏观经济非均衡现象？</w:t>
      </w:r>
    </w:p>
    <w:p>
      <w:r>
        <w:rPr>
          <w:rFonts w:ascii="等线(中文正文)" w:hAnsi="等线(中文正文)" w:cs="等线(中文正文)" w:eastAsia="等线(中文正文)"/>
          <w:b w:val="false"/>
          <w:i w:val="false"/>
          <w:sz w:val="20"/>
        </w:rPr>
        <w:t>发言人1 答：当前的宏观经济非均衡现象（如过度供给、内需不足、总价格疲软等）是由微观层面的收入增长乏力和价格疲软共同造成的，其中就业困难和资产缩水是重要原因。</w:t>
      </w:r>
    </w:p>
    <w:p>
      <w:r>
        <w:rPr>
          <w:rFonts w:ascii="等线(中文正文)" w:hAnsi="等线(中文正文)" w:cs="等线(中文正文)" w:eastAsia="等线(中文正文)"/>
          <w:b w:val="false"/>
          <w:i w:val="false"/>
          <w:sz w:val="20"/>
        </w:rPr>
        <w:t/>
      </w:r>
    </w:p>
    <w:p>
      <w:pPr>
        <w:pStyle w:val="ab"/>
      </w:pPr>
      <w:r>
        <w:t>发言人1 问：如何提高宏观经济政策效率并激发微观活力？</w:t>
      </w:r>
    </w:p>
    <w:p>
      <w:r>
        <w:rPr>
          <w:rFonts w:ascii="等线(中文正文)" w:hAnsi="等线(中文正文)" w:cs="等线(中文正文)" w:eastAsia="等线(中文正文)"/>
          <w:b w:val="false"/>
          <w:i w:val="false"/>
          <w:sz w:val="20"/>
        </w:rPr>
        <w:t>发言人1 答：提高宏观经济政策效率需从微观入手，重点在于稳定企业信心和收入，尤其是要推动国企改革、强化产权保护和建立平等竞争环境，同时调动地方政府积极性，优化财政资源配置，并构建现代化产业体系作为新的传导机制。</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2026-06-28T02:53:09Z</dcterms:created>
  <dc:creator>Apache POI</dc:creator>
</cp:coreProperties>
</file>