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产业赛道与主题投资风向标 260625_导读</w:t>
      </w:r>
    </w:p>
    <w:p>
      <w:pPr>
        <w:pStyle w:val="a0"/>
        <w:jc w:val="center"/>
      </w:pPr>
      <w:r>
        <w:t>2026年06月27日 19:49</w:t>
      </w:r>
    </w:p>
    <w:p>
      <w:pPr>
        <w:pStyle w:val="a7"/>
      </w:pPr>
      <w:r>
        <w:t>关键词</w:t>
      </w:r>
    </w:p>
    <w:p>
      <w:r>
        <w:rPr>
          <w:rFonts w:ascii="等线(中文正文)" w:hAnsi="等线(中文正文)" w:cs="等线(中文正文)" w:eastAsia="等线(中文正文)"/>
          <w:b w:val="false"/>
          <w:i w:val="false"/>
          <w:sz w:val="20"/>
        </w:rPr>
        <w:t xml:space="preserve">产业风向标 AI算力基建 半导体技术 科创板 创业板 融资融券余额 高景气度 高确定性 国产替代 光通信 国产半导体 算力金属 钽电容 磷化铟 世界模型 物理AI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上周市场显著上涨，PCD概念表现突出，融资融券余额增加，资金主要流向半导体等领域。市场呈现结构性分化，科创板、创业板指数创新高，但科技板块带动指数上涨的同时，多数个股下跌。宏观基本面弱复苏，市场资金转向高景气度和高确定性资产。全球资本关注AI算力基建和半导体技术可控，推动相关科技龙头上涨。传统策略框架有效性受挑战，需关注结构性牛市和政策动态，特别是国产半导体、算力金属边际变化，以及资本市场对硬科技的持续支持。市场存在结构性机会，如国产半导体、AI基建产业链及被错杀的传统板块，如券商。强调关注物理AI、硬件基础设施和新材料进展，国内企业对安全可控和成本考量加速拥抱。</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市场结构分化与科技板块崛起分析</w:t>
      </w:r>
    </w:p>
    <w:p>
      <w:r>
        <w:rPr>
          <w:rFonts w:ascii="等线(中文正文)" w:hAnsi="等线(中文正文)" w:cs="等线(中文正文)" w:eastAsia="等线(中文正文)"/>
          <w:b w:val="false"/>
          <w:i w:val="false"/>
          <w:sz w:val="20"/>
        </w:rPr>
        <w:t>近期市场呈现指数上涨而多数个股下跌的分化现象，科技板块尤其是AI算力基建和半导体技术成为资金集中领域，反映出市场对高景气度和高确定性资产的偏好。传统板块因缺乏产业逻辑支撑而持续失血，券商等传统板块虽被错杀但具有估值优势，值得关注。市场策略需拥抱结构性分化，考量PEG、远期市场渗透率及全球对标资产估值映射。</w:t>
      </w:r>
    </w:p>
    <w:p>
      <w:r>
        <w:rPr>
          <w:rFonts w:ascii="等线(中文正文)" w:hAnsi="等线(中文正文)" w:cs="等线(中文正文)" w:eastAsia="等线(中文正文)"/>
          <w:b w:val="false"/>
          <w:i w:val="false"/>
          <w:sz w:val="20"/>
        </w:rPr>
        <w:t/>
      </w:r>
    </w:p>
    <w:p>
      <w:pPr>
        <w:pStyle w:val="ab"/>
        <w:numPr>
          <w:numId w:val="2"/>
        </w:numPr>
      </w:pPr>
      <w:r>
        <w:t>06:25 国产半导体与算力金属市场分析</w:t>
      </w:r>
    </w:p>
    <w:p>
      <w:r>
        <w:rPr>
          <w:rFonts w:ascii="等线(中文正文)" w:hAnsi="等线(中文正文)" w:cs="等线(中文正文)" w:eastAsia="等线(中文正文)"/>
          <w:b w:val="false"/>
          <w:i w:val="false"/>
          <w:sz w:val="20"/>
        </w:rPr>
        <w:t>对话深入探讨了国产半导体自主化进程加速及算力金属供需紧张态势。重点提及月半导体与税源科技IPO进展，彰显政策资金支持硬科技国产化趋势。算力金属方面，AI算力与能源扩张加剧资源消耗，钽、磷化铟等小金属因供给受限、需求激增，价格涨幅超40%，凸显产业投资价值。</w:t>
      </w:r>
    </w:p>
    <w:p>
      <w:r>
        <w:rPr>
          <w:rFonts w:ascii="等线(中文正文)" w:hAnsi="等线(中文正文)" w:cs="等线(中文正文)" w:eastAsia="等线(中文正文)"/>
          <w:b w:val="false"/>
          <w:i w:val="false"/>
          <w:sz w:val="20"/>
        </w:rPr>
        <w:t/>
      </w:r>
    </w:p>
    <w:p>
      <w:pPr>
        <w:pStyle w:val="ab"/>
        <w:numPr>
          <w:numId w:val="3"/>
        </w:numPr>
      </w:pPr>
      <w:r>
        <w:t>09:36 科技政策动态与产业趋势分析</w:t>
      </w:r>
    </w:p>
    <w:p>
      <w:r>
        <w:rPr>
          <w:rFonts w:ascii="等线(中文正文)" w:hAnsi="等线(中文正文)" w:cs="等线(中文正文)" w:eastAsia="等线(中文正文)"/>
          <w:b w:val="false"/>
          <w:i w:val="false"/>
          <w:sz w:val="20"/>
        </w:rPr>
        <w:t>政策动态方面，工信部等多部门推动AI领域创新，从算力建设转向应用层发展，聚焦消费电子等场景，豆包专业版探索商业模式。资本市场改革深化，科创板支持科技型企业，强化AI大模型、半导体等方向的退出与融资保障。产业趋势上，物理AI技术架构与未来演变成为热点，技术与应用并进，展现广阔前景。</w:t>
      </w:r>
    </w:p>
    <w:p>
      <w:r>
        <w:rPr>
          <w:rFonts w:ascii="等线(中文正文)" w:hAnsi="等线(中文正文)" w:cs="等线(中文正文)" w:eastAsia="等线(中文正文)"/>
          <w:b w:val="false"/>
          <w:i w:val="false"/>
          <w:sz w:val="20"/>
        </w:rPr>
        <w:t/>
      </w:r>
    </w:p>
    <w:p>
      <w:pPr>
        <w:pStyle w:val="ab"/>
        <w:numPr>
          <w:numId w:val="4"/>
        </w:numPr>
      </w:pPr>
      <w:r>
        <w:t>12:19 AI与算力新进展：世界模型、开源大模型与国产芯片</w:t>
      </w:r>
    </w:p>
    <w:p>
      <w:r>
        <w:rPr>
          <w:rFonts w:ascii="等线(中文正文)" w:hAnsi="等线(中文正文)" w:cs="等线(中文正文)" w:eastAsia="等线(中文正文)"/>
          <w:b w:val="false"/>
          <w:i w:val="false"/>
          <w:sz w:val="20"/>
        </w:rPr>
        <w:t>会议聚焦于AI领域最新进展，包括资源研究院发布的全球首个通用世界基座模型，实现物理状态预测的范式转变；阿里推出首个巨身大模型，展现无需绝对坐标计算的物理操作能力；以及开源旗舰大模型GLM5.2在超长上下文工程化应用上的重大突破。硬件方面，字节跳动等大厂加速采购国产芯片，布局算力供应链；新材料如玻璃基板和磷化铟在AI算力金属领域的应用也取得突破，满足数据中心对高速光连接的需求。</w:t>
      </w:r>
    </w:p>
    <w:p>
      <w:r>
        <w:rPr>
          <w:rFonts w:ascii="等线(中文正文)" w:hAnsi="等线(中文正文)" w:cs="等线(中文正文)" w:eastAsia="等线(中文正文)"/>
          <w:b w:val="false"/>
          <w:i w:val="false"/>
          <w:sz w:val="20"/>
        </w:rPr>
        <w:t/>
      </w:r>
    </w:p>
    <w:p>
      <w:pPr>
        <w:pStyle w:val="a7"/>
      </w:pPr>
      <w:r>
        <w:t>发言总结</w:t>
      </w:r>
    </w:p>
    <w:p>
      <w:pPr>
        <w:pStyle w:val="ab"/>
        <w:numPr>
          <w:numId w:val="5"/>
        </w:numPr>
      </w:pPr>
      <w:r>
        <w:t>发言人1</w:t>
      </w:r>
    </w:p>
    <w:p>
      <w:r>
        <w:rPr>
          <w:rFonts w:ascii="等线(中文正文)" w:hAnsi="等线(中文正文)" w:cs="等线(中文正文)" w:eastAsia="等线(中文正文)"/>
          <w:b w:val="false"/>
          <w:i w:val="false"/>
          <w:sz w:val="20"/>
        </w:rPr>
        <w:t>他，天风策略的肖峰，对近期市场进行了周度复盘。上周市场大幅上涨4.91%，PCD相关概念板块强势表现，日均成交额3.1万亿元，融资融券余额升至2.91万亿元，主要流向半导体等概念。市场当前呈现指数横盘震荡，但科创板、创业板指数达到新高，显示科技板块推动指数上行，同时出现市场大幅上涨而多数个股下跌的极致分化结构。肖峰指出，当前市场资金配置逻辑转向高景气度和高确定性资产，AI算力基建和半导体成为投资热点，而其他板块因缺乏产业逻辑支撑出现资金流出。此外，国产半导体和算力金属领域也受到关注，政策方面，AI领域政策逐步侧重应用层和消费电子等实际商业场景。总结而言，市场结构分化明显，资金流向转向硬科技领域，政策和市场共同推动AI及相关技术领域发展。</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问：上周市场整体情况如何，有哪些板块表现强势？本周市场结构有何特点？</w:t>
      </w:r>
    </w:p>
    <w:p>
      <w:r>
        <w:rPr>
          <w:rFonts w:ascii="等线(中文正文)" w:hAnsi="等线(中文正文)" w:cs="等线(中文正文)" w:eastAsia="等线(中文正文)"/>
          <w:b w:val="false"/>
          <w:i w:val="false"/>
          <w:sz w:val="20"/>
        </w:rPr>
        <w:t>发言人1 答：上周市场大幅上涨了4.91%，其中PCD相关概念表现最强，日均成交额达到3.1万亿元，较前周增加3589亿元。融资融券余额升至2.91万亿元，主要流向半导体等相关概念。本周市场横盘震荡，科创板和创业板指数创新高，但出现极致分化结构，指数大幅上涨而四千多家股票下跌。这种现象背后是资金配置逻辑转移至高景气度和高确定性的科技板块，特别是AI算力基建和半导体技术可控的赛道，这些龙头股大涨并带动指数上行，但其他相关个股则出现失血和下跌。</w:t>
      </w:r>
    </w:p>
    <w:p>
      <w:r>
        <w:rPr>
          <w:rFonts w:ascii="等线(中文正文)" w:hAnsi="等线(中文正文)" w:cs="等线(中文正文)" w:eastAsia="等线(中文正文)"/>
          <w:b w:val="false"/>
          <w:i w:val="false"/>
          <w:sz w:val="20"/>
        </w:rPr>
        <w:t/>
      </w:r>
    </w:p>
    <w:p>
      <w:pPr>
        <w:pStyle w:val="ab"/>
      </w:pPr>
      <w:r>
        <w:t>发言人1 问：当前市场为何会出现强势板块稳定指数但多数个股阴跌的局面？</w:t>
      </w:r>
    </w:p>
    <w:p>
      <w:r>
        <w:rPr>
          <w:rFonts w:ascii="等线(中文正文)" w:hAnsi="等线(中文正文)" w:cs="等线(中文正文)" w:eastAsia="等线(中文正文)"/>
          <w:b w:val="false"/>
          <w:i w:val="false"/>
          <w:sz w:val="20"/>
        </w:rPr>
        <w:t>发言人1 答：在存量甚至减量博弈的环境下，场内资金为了追逐高确定性和高景气度资产，不断从缺乏产业逻辑支撑的传统板块中抽离资金，形成了指数被强势板块稳住，而大量个股因流动性和基本面问题阴跌的割裂局面。</w:t>
      </w:r>
    </w:p>
    <w:p>
      <w:r>
        <w:rPr>
          <w:rFonts w:ascii="等线(中文正文)" w:hAnsi="等线(中文正文)" w:cs="等线(中文正文)" w:eastAsia="等线(中文正文)"/>
          <w:b w:val="false"/>
          <w:i w:val="false"/>
          <w:sz w:val="20"/>
        </w:rPr>
        <w:t/>
      </w:r>
    </w:p>
    <w:p>
      <w:pPr>
        <w:pStyle w:val="ab"/>
      </w:pPr>
      <w:r>
        <w:t>发言人1 问：全球股市中，哪些市场与AI基建产业链相关且涨幅较大？</w:t>
      </w:r>
    </w:p>
    <w:p>
      <w:r>
        <w:rPr>
          <w:rFonts w:ascii="等线(中文正文)" w:hAnsi="等线(中文正文)" w:cs="等线(中文正文)" w:eastAsia="等线(中文正文)"/>
          <w:b w:val="false"/>
          <w:i w:val="false"/>
          <w:sz w:val="20"/>
        </w:rPr>
        <w:t>发言人1 答：韩国和中国台湾股市涨幅较大，因为他们成分股高度集中在AI基建相关的产业链上，这与全球资本开支扩张、产业链重塑的趋势以及AI科技产业周期密切相关。</w:t>
      </w:r>
    </w:p>
    <w:p>
      <w:r>
        <w:rPr>
          <w:rFonts w:ascii="等线(中文正文)" w:hAnsi="等线(中文正文)" w:cs="等线(中文正文)" w:eastAsia="等线(中文正文)"/>
          <w:b w:val="false"/>
          <w:i w:val="false"/>
          <w:sz w:val="20"/>
        </w:rPr>
        <w:t/>
      </w:r>
    </w:p>
    <w:p>
      <w:pPr>
        <w:pStyle w:val="ab"/>
      </w:pPr>
      <w:r>
        <w:t>发言人1 问：对于AI基建赛道拥挤度高的现象，如何理解其有效性？</w:t>
      </w:r>
    </w:p>
    <w:p>
      <w:r>
        <w:rPr>
          <w:rFonts w:ascii="等线(中文正文)" w:hAnsi="等线(中文正文)" w:cs="等线(中文正文)" w:eastAsia="等线(中文正文)"/>
          <w:b w:val="false"/>
          <w:i w:val="false"/>
          <w:sz w:val="20"/>
        </w:rPr>
        <w:t>发言人1 答：在重大技术革命和国产替代提速期，尽管AI基建和半导体赛道拥挤度处于历史高位，但由于分母端的扩张速度超越了分子端，导致基本面斜率陡峭，资金涌入更多是纠错式和填平式的价值发现而非单纯情绪炒作。因此，传统的静态相对指标在面对长期景气度反转时有效性可能下降，需要调整策略视角拥抱结构性分化。</w:t>
      </w:r>
    </w:p>
    <w:p>
      <w:r>
        <w:rPr>
          <w:rFonts w:ascii="等线(中文正文)" w:hAnsi="等线(中文正文)" w:cs="等线(中文正文)" w:eastAsia="等线(中文正文)"/>
          <w:b w:val="false"/>
          <w:i w:val="false"/>
          <w:sz w:val="20"/>
        </w:rPr>
        <w:t/>
      </w:r>
    </w:p>
    <w:p>
      <w:pPr>
        <w:pStyle w:val="ab"/>
      </w:pPr>
      <w:r>
        <w:t>发言人1 问：在当前市场环境下，策略上应如何考虑？</w:t>
      </w:r>
    </w:p>
    <w:p>
      <w:r>
        <w:rPr>
          <w:rFonts w:ascii="等线(中文正文)" w:hAnsi="等线(中文正文)" w:cs="等线(中文正文)" w:eastAsia="等线(中文正文)"/>
          <w:b w:val="false"/>
          <w:i w:val="false"/>
          <w:sz w:val="20"/>
        </w:rPr>
        <w:t>发言人1 答：策略上应更多考量如PEG市盈率相对盈利增长比例、远期市场渗透率爆发以及全球对标资产估值映射等指标，关注分化牛市结构下的投资机会，同时也可以关注受益于AI基建热潮但被错杀的传统板块，比如券商板块。</w:t>
      </w:r>
    </w:p>
    <w:p>
      <w:r>
        <w:rPr>
          <w:rFonts w:ascii="等线(中文正文)" w:hAnsi="等线(中文正文)" w:cs="等线(中文正文)" w:eastAsia="等线(中文正文)"/>
          <w:b w:val="false"/>
          <w:i w:val="false"/>
          <w:sz w:val="20"/>
        </w:rPr>
        <w:t/>
      </w:r>
    </w:p>
    <w:p>
      <w:pPr>
        <w:pStyle w:val="ab"/>
      </w:pPr>
      <w:r>
        <w:t>发言人1 问：关于国产半导体和双力金属领域有哪些边际变化？</w:t>
      </w:r>
    </w:p>
    <w:p>
      <w:r>
        <w:rPr>
          <w:rFonts w:ascii="等线(中文正文)" w:hAnsi="等线(中文正文)" w:cs="等线(中文正文)" w:eastAsia="等线(中文正文)"/>
          <w:b w:val="false"/>
          <w:i w:val="false"/>
          <w:sz w:val="20"/>
        </w:rPr>
        <w:t>发言人1 答：国产半导体领域进入自主化资本加速期，如月半导体和顺源科技分别成功通过创业板和科创板审核，覆盖成熟制程制造和先进AI计算两大方向，表明政策和资金对硬科技国产化的包容性增强，有望实质性提升国产半导体板块竞争力和投资价值。此外，算力金属由于AI算力和能源需求增长，其量价提升逻辑受到市场高度关注。</w:t>
      </w:r>
    </w:p>
    <w:p>
      <w:r>
        <w:rPr>
          <w:rFonts w:ascii="等线(中文正文)" w:hAnsi="等线(中文正文)" w:cs="等线(中文正文)" w:eastAsia="等线(中文正文)"/>
          <w:b w:val="false"/>
          <w:i w:val="false"/>
          <w:sz w:val="20"/>
        </w:rPr>
        <w:t/>
      </w:r>
    </w:p>
    <w:p>
      <w:pPr>
        <w:pStyle w:val="ab"/>
      </w:pPr>
      <w:r>
        <w:t>发言人1 问：GPU服务器高功耗下的供电稳定性要求对钽电容用量的影响是什么？与算力相关的稀有小金属供应情况如何？</w:t>
      </w:r>
    </w:p>
    <w:p>
      <w:r>
        <w:rPr>
          <w:rFonts w:ascii="等线(中文正文)" w:hAnsi="等线(中文正文)" w:cs="等线(中文正文)" w:eastAsia="等线(中文正文)"/>
          <w:b w:val="false"/>
          <w:i w:val="false"/>
          <w:sz w:val="20"/>
        </w:rPr>
        <w:t>发言人1 答：在GPU服务器高功耗下，供电稳定性要求导致钽电容用量相较于传统服务器增加十倍以上。这些小金属供给端缺乏弹性，产区产量受限且库存处于历史低位，近期矿难还导致约15%的碳供应中断。因此，在供需双重挤压下，过去半年如钽、铟、硒等的价格涨幅超过40%。</w:t>
      </w:r>
    </w:p>
    <w:p>
      <w:r>
        <w:rPr>
          <w:rFonts w:ascii="等线(中文正文)" w:hAnsi="等线(中文正文)" w:cs="等线(中文正文)" w:eastAsia="等线(中文正文)"/>
          <w:b w:val="false"/>
          <w:i w:val="false"/>
          <w:sz w:val="20"/>
        </w:rPr>
        <w:t/>
      </w:r>
    </w:p>
    <w:p>
      <w:pPr>
        <w:pStyle w:val="ab"/>
      </w:pPr>
      <w:r>
        <w:t>发言人1 问：AI基建增速与上游原材料价格传导之间的逻辑关系是什么？</w:t>
      </w:r>
    </w:p>
    <w:p>
      <w:r>
        <w:rPr>
          <w:rFonts w:ascii="等线(中文正文)" w:hAnsi="等线(中文正文)" w:cs="等线(中文正文)" w:eastAsia="等线(中文正文)"/>
          <w:b w:val="false"/>
          <w:i w:val="false"/>
          <w:sz w:val="20"/>
        </w:rPr>
        <w:t>发言人1 答：目前AI基建增速持续上涨，但上游原材料供给受限，价格弹性大，这是值得关注的主题方向。</w:t>
      </w:r>
    </w:p>
    <w:p>
      <w:r>
        <w:rPr>
          <w:rFonts w:ascii="等线(中文正文)" w:hAnsi="等线(中文正文)" w:cs="等线(中文正文)" w:eastAsia="等线(中文正文)"/>
          <w:b w:val="false"/>
          <w:i w:val="false"/>
          <w:sz w:val="20"/>
        </w:rPr>
        <w:t/>
      </w:r>
    </w:p>
    <w:p>
      <w:pPr>
        <w:pStyle w:val="ab"/>
      </w:pPr>
      <w:r>
        <w:t>发言人1 问：上周科技领域的人工智能政策有哪些边际变化？</w:t>
      </w:r>
    </w:p>
    <w:p>
      <w:r>
        <w:rPr>
          <w:rFonts w:ascii="等线(中文正文)" w:hAnsi="等线(中文正文)" w:cs="等线(中文正文)" w:eastAsia="等线(中文正文)"/>
          <w:b w:val="false"/>
          <w:i w:val="false"/>
          <w:sz w:val="20"/>
        </w:rPr>
        <w:t>发言人1 答：上周政策的边际变化包括工信部七部门发文引导平台企业加强大模型创新布局，商务部等八部门联合出台加快人工智能与消费融合发展的实施意见，以及工信部提出深入实施人工智能加制造专项行动。政策正从鼓励算力建设转向关注C端应用层的实际商业落地场景，如消费电子、智能家居和高端制造等领域，并且资本市场也在深化改革，支持硬科技发展。</w:t>
      </w:r>
    </w:p>
    <w:p>
      <w:r>
        <w:rPr>
          <w:rFonts w:ascii="等线(中文正文)" w:hAnsi="等线(中文正文)" w:cs="等线(中文正文)" w:eastAsia="等线(中文正文)"/>
          <w:b w:val="false"/>
          <w:i w:val="false"/>
          <w:sz w:val="20"/>
        </w:rPr>
        <w:t/>
      </w:r>
    </w:p>
    <w:p>
      <w:pPr>
        <w:pStyle w:val="ab"/>
      </w:pPr>
      <w:r>
        <w:t>发言人1 问：上周AI产业趋势有哪些重要发展？</w:t>
      </w:r>
    </w:p>
    <w:p>
      <w:r>
        <w:rPr>
          <w:rFonts w:ascii="等线(中文正文)" w:hAnsi="等线(中文正文)" w:cs="等线(中文正文)" w:eastAsia="等线(中文正文)"/>
          <w:b w:val="false"/>
          <w:i w:val="false"/>
          <w:sz w:val="20"/>
        </w:rPr>
        <w:t>发言人1 答：上周产业趋势中，物理AI技术架构及未来演变成为关注焦点，其中世界模型实现了对物理状态的预测飞跃，让AI具备理解时空规律和推演场景演化的能力。同时，阿里发布了首个巨身大模型，微信支付上线智能体操控的AI专属卡，AI已从聊天阶段进入能直接指挥agent执行具体任务的新阶段。此外，字符开源的新一代旗舰大模型GLM5.2在超长上下文工程化应用上取得重大突破，并实现了与国产算力品牌的融合。</w:t>
      </w:r>
    </w:p>
    <w:p>
      <w:r>
        <w:rPr>
          <w:rFonts w:ascii="等线(中文正文)" w:hAnsi="等线(中文正文)" w:cs="等线(中文正文)" w:eastAsia="等线(中文正文)"/>
          <w:b w:val="false"/>
          <w:i w:val="false"/>
          <w:sz w:val="20"/>
        </w:rPr>
        <w:t/>
      </w:r>
    </w:p>
    <w:p>
      <w:pPr>
        <w:pStyle w:val="ab"/>
      </w:pPr>
      <w:r>
        <w:t>发言人1 问：硬件基础设施和底层材料方面有哪些更新动态？</w:t>
      </w:r>
    </w:p>
    <w:p>
      <w:r>
        <w:rPr>
          <w:rFonts w:ascii="等线(中文正文)" w:hAnsi="等线(中文正文)" w:cs="等线(中文正文)" w:eastAsia="等线(中文正文)"/>
          <w:b w:val="false"/>
          <w:i w:val="false"/>
          <w:sz w:val="20"/>
        </w:rPr>
        <w:t>发言人1 答：大厂如字节跳动开始采购国产芯片，并洽谈云端推理GPU供电，采用华为升腾寒武纪等高端训练卡；同时，台积电与ABF钛板大厂群创共同验证玻璃基板成果，数据显示先进封装指标改善16%，散热和热膨胀性能大幅提升。在新材料方面，英伟达战略投资coherent建设全球首个量产型6英寸磷化铟清原厂，以应对数据中心对高速光连接和磷化银激光器的刚性需求，进一步凸显磷化铟衬底在AI超级周期下的产能缺口。</w:t>
      </w:r>
    </w:p>
    <w:p>
      <w:r>
        <w:rPr>
          <w:rFonts w:ascii="等线(中文正文)" w:hAnsi="等线(中文正文)" w:cs="等线(中文正文)" w:eastAsia="等线(中文正文)"/>
          <w:b w:val="false"/>
          <w:i w:val="false"/>
          <w:sz w:val="20"/>
        </w:rPr>
        <w:t/>
      </w:r>
    </w:p>
    <w:p>
      <w:pPr>
        <w:pStyle w:val="ab"/>
      </w:pPr>
      <w:r>
        <w:t>发言人1 问：磷化铟衬底在光速高速光模块中的地位以及其产能现状如何？</w:t>
      </w:r>
    </w:p>
    <w:p>
      <w:r>
        <w:rPr>
          <w:rFonts w:ascii="等线(中文正文)" w:hAnsi="等线(中文正文)" w:cs="等线(中文正文)" w:eastAsia="等线(中文正文)"/>
          <w:b w:val="false"/>
          <w:i w:val="false"/>
          <w:sz w:val="20"/>
        </w:rPr>
        <w:t>发言人1 答：磷化铟衬底是光速高速光模块的核心材料，目前存在较大的产能缺口。</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2026-06-27T12:00:50Z</dcterms:created>
  <dc:creator>Apache POI</dc:creator>
</cp:coreProperties>
</file>