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产业赛道与主题投资风向标 260625_原文</w:t>
      </w:r>
    </w:p>
    <w:p>
      <w:pPr>
        <w:jc w:val="center"/>
      </w:pPr>
      <w:r>
        <w:rPr>
          <w:rFonts w:ascii="等线(中文正文)" w:hAnsi="等线(中文正文)" w:cs="等线(中文正文)" w:eastAsia="等线(中文正文)"/>
          <w:b w:val="false"/>
          <w:i w:val="false"/>
          <w:sz w:val="20"/>
        </w:rPr>
        <w:t>2026年06月27日 19:49</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各位投资者晚上好，我是天风策略的肖峰。然后本次汇报一下我们关于产业风向标的一个周度汇报。首先是我们关于近期市场的一个复盘，上周就是6月15号到6月18号，权威是大幅上涨了4.91%。板块方面PCD相关概念表现强势，权威的日均成交额达到了3.1万亿元，较前周增加了3589亿元，市场活跃度上行，平均的每日上涨家数为2420家，较前周增加352家。然后融资融券余额也升至了2.91万亿元，主要流向半导体等相关概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00:41</w:t>
      </w:r>
    </w:p>
    <w:p>
      <w:r>
        <w:rPr>
          <w:rFonts w:ascii="等线(中文正文)" w:hAnsi="等线(中文正文)" w:cs="等线(中文正文)" w:eastAsia="等线(中文正文)"/>
          <w:b w:val="false"/>
          <w:i w:val="false"/>
          <w:sz w:val="20"/>
        </w:rPr>
        <w:t>本周的话市场可能从上证指数来看是一个横盘震荡，但是像科创板、创业板的指数达到了一个新高，特别是可能近期出现了多次比如说像科创板持续上行，或者说部分科技板块上行，带动指数其实是没有大幅波动的。但是从这个上涨家数来看，可能会出现指数大幅上涨，但是四千多家下跌的一个情况，那么呃这种极致分化的一个市场的结构，我们这边就进行一个可能我们策略角度的一个解读。因为在传统的A股的一个牛市中，往往是宏观经济的强复苏带动全行业的一个盈利上行，市场呈现水大鱼大的一个普涨的一个格局。但是当前的宏观基本面呈现出弱复苏和平缓斜率的特征，市场整体盈利扩张缺乏系统性的支撑，那么在这种背景下，市场资金的配置逻辑就发生了转移，资金像这种高景气度和高确定性集中，那么在宏观贝塔去落实资金会极度渴求具备独立产业周期和强科技属性的阿尔法资产。那么AI算力基建和半导体技术可控，这是迎合全球资本开张，AI资本开支扩张和产业链重塑的一个全国的双重确定性。其实这个部分的科技龙头大涨，然后成交额占比大幅上升，然后带动指数上行。但是其他的一些相关的个股的持续失血和下跌，这也不是A股特意有的一个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02:16</w:t>
      </w:r>
    </w:p>
    <w:p>
      <w:r>
        <w:rPr>
          <w:rFonts w:ascii="等线(中文正文)" w:hAnsi="等线(中文正文)" w:cs="等线(中文正文)" w:eastAsia="等线(中文正文)"/>
          <w:b w:val="false"/>
          <w:i w:val="false"/>
          <w:sz w:val="20"/>
        </w:rPr>
        <w:t>可以看到近期无论是全球股市来看，这样参与整个AI基建产业链比较多的，像韩国的股市，还有台湾的，中国台湾的股市，它都出现了这个啊，因为他们的整个成分股来看是高度集中在，比如说跟这个AI基建相关的产业链，所以说它的指数的上涨的一个幅度明显是，更大的，这也是绑定了这一轮的一个，AI的一个科技产业周期。但是比如说其他板块的一个宏观支持，支持它上涨的一个，宏观条件并不是非常的显著。比如说你像五月的一个设计数据也是首次出现了负增长，然后包括其他的一个投资的数据，都是可能表现相对平淡，这也是宏观的一个冷热分化，对这个股市结构的一个反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03:13</w:t>
      </w:r>
    </w:p>
    <w:p>
      <w:r>
        <w:rPr>
          <w:rFonts w:ascii="等线(中文正文)" w:hAnsi="等线(中文正文)" w:cs="等线(中文正文)" w:eastAsia="等线(中文正文)"/>
          <w:b w:val="false"/>
          <w:i w:val="false"/>
          <w:sz w:val="20"/>
        </w:rPr>
        <w:t>然后在市场整体处于存量甚至减量的博弈的一个环境下，场内资金为了追逐这种高确定性的资产，高景气度的资产，必须不断的从缺乏产业逻辑支撑，陷入内卷式竞争的一些传统板块中抽离资金。这就形成了指数被强势板块稳住，但是可能出现超半数的个股因流动性和基本面问题的而阴跌的这种割裂的局面。包括我们这个传统策略框架中的这个拥挤度指标，比如说像换手率、成交额占比等。它的有效性的一个隐含前提是均值回归，就是这个产业天花板是固定的，资金短期涌入过多必然导致泡沫破裂。但是像这个AI基建和半导体的相关赛道的拥挤度，虽然屡屡处于一个历史高位，但并未迎来预期的崩盘，它的核心原因是一个是分母端的扩张速度超越了分子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04:10</w:t>
      </w:r>
    </w:p>
    <w:p>
      <w:r>
        <w:rPr>
          <w:rFonts w:ascii="等线(中文正文)" w:hAnsi="等线(中文正文)" w:cs="等线(中文正文)" w:eastAsia="等线(中文正文)"/>
          <w:b w:val="false"/>
          <w:i w:val="false"/>
          <w:sz w:val="20"/>
        </w:rPr>
        <w:t>在重大的一个技术革命和国产替代的这种刚性提速期，比如说产业的订单，技术的进步，资本开支和产能缺口，这些指数型爆发，基本面的斜率非常陡峭，使得资金的涌入更多的是做纠错式和填平式的一个价值发现，而非单纯的一个情绪炒作，指标的一个高位动画也是主升浪的一个特征。那么当一个板块面临长周期的景气度反转时，传统的静态相对指标也往往会有效性有所下降。此时的这个拥挤，它不仅是交易层面的一个热度，也是全市场基本面共识的一个极度的强化。那么用震荡式的这种均值回归的指标来衡量这种结构式或者说趋势式的一个主升浪，那也会导致指标层面的一个实现。要面对这种可能有违传统的我们的一个体感的一个盘面，那么我们也需要放弃全面牛市的执念，拥抱这种结构性的分化。传统的比如说PPP历史分位数，包括拥挤度的这种指导意义可能有所下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05:11</w:t>
      </w:r>
    </w:p>
    <w:p>
      <w:r>
        <w:rPr>
          <w:rFonts w:ascii="等线(中文正文)" w:hAnsi="等线(中文正文)" w:cs="等线(中文正文)" w:eastAsia="等线(中文正文)"/>
          <w:b w:val="false"/>
          <w:i w:val="false"/>
          <w:sz w:val="20"/>
        </w:rPr>
        <w:t>那么策略上可能要考量更多的就是包括这个PEG市盈率相对这个盈利增长比例。远期的一个从这个产业周期的看，远期的一个市场的渗透率的一个爆发，以及全球的变对标资产的一种估值映射来看，这种分化的一个牛市的一个结构。当然既然当然如果觉得这个资金极度抱团，最核心的算力和半导体设备存在高位震荡的这个风险的话，那么也可以找到一些被市场的一个有动性这种流动性高度集中于AI基建的导致的这种一些其实整体基本面向好的一些板块的错杀。我们可以看到像这个上周，开了那个陆家嘴金融论坛以后，像券商板块的关注度有所提升。其实券商的券商板块非常受益于齿轮的一个牛市的一个贝塔。然后金融板块它其实前期的市场其实也一直没怎么涨，估值处于一个比较舒适的位置。但是其实它的一个整体的景气度，包括它的这个中报业绩，其实还是相对表现占优的一些。这种被错杀的传统板块也是可以值得关注的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06:26</w:t>
      </w:r>
    </w:p>
    <w:p>
      <w:r>
        <w:rPr>
          <w:rFonts w:ascii="等线(中文正文)" w:hAnsi="等线(中文正文)" w:cs="等线(中文正文)" w:eastAsia="等线(中文正文)"/>
          <w:b w:val="false"/>
          <w:i w:val="false"/>
          <w:sz w:val="20"/>
        </w:rPr>
        <w:t>然后以上就是我们关于这个市场的一个回顾和和探讨。然后我们重点主题方面，有这块有三个首先是这个光通信，这个因为我们每次都有介绍就不展开了。主要就是详细介绍一下这个国产半导体和双力金属的一个边际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06:48</w:t>
      </w:r>
    </w:p>
    <w:p>
      <w:r>
        <w:rPr>
          <w:rFonts w:ascii="等线(中文正文)" w:hAnsi="等线(中文正文)" w:cs="等线(中文正文)" w:eastAsia="等线(中文正文)"/>
          <w:b w:val="false"/>
          <w:i w:val="false"/>
          <w:sz w:val="20"/>
        </w:rPr>
        <w:t>国产半导体它主要的是自主化进入资本加速期，像这个上周就有比较重要的一个两个标志性意义的IPO节点。一个是这个月半导体成功通过创业板审核，填补了大湾区12英特尔晶圆代工在A股的空白，月薪聚焦的那个模拟芯片、功率器件和硅光芯片，也是当时当前国内成熟制程中产能缺口最大国产替代最迫切的这个环节，第二个就是作为国产GPU4小龙之一的顺源科技，也顺利通过了上交所的科创板审查。那么税源直接服务于数据中心和生成式AI的高性能计算需求，旨在提供对英伟达方案的一个可行替代。这两家企业分别覆盖了成熟制程制造和先进AI计算两大方向。它的国会也释放一个明确的信号，政策和资金对硬科技国产化的包容性增加速转化为产业落地的一个实际动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07:46</w:t>
      </w:r>
    </w:p>
    <w:p>
      <w:r>
        <w:rPr>
          <w:rFonts w:ascii="等线(中文正文)" w:hAnsi="等线(中文正文)" w:cs="等线(中文正文)" w:eastAsia="等线(中文正文)"/>
          <w:b w:val="false"/>
          <w:i w:val="false"/>
          <w:sz w:val="20"/>
        </w:rPr>
        <w:t>国产半导体板块的一个整体竞争力和投资价值也有望有所实质性的一个提升，第二块就是算力金属，我们其实之前也上周也进行了一个提示。然后其实最近的这个AI涨价链也是我们这个市场的关注非常高的一个挖掘的方向。随着这个AI算力和能源的一个持续的扩张，对相关的一些上游食物资源的巨大消耗正在兑现。这就是算力金属量价提升的一个逻辑，在这种需求端，比如说像这个AI服务器的单机，耗电量是传统服务器的四倍以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08:23</w:t>
      </w:r>
    </w:p>
    <w:p>
      <w:r>
        <w:rPr>
          <w:rFonts w:ascii="等线(中文正文)" w:hAnsi="等线(中文正文)" w:cs="等线(中文正文)" w:eastAsia="等线(中文正文)"/>
          <w:b w:val="false"/>
          <w:i w:val="false"/>
          <w:sz w:val="20"/>
        </w:rPr>
        <w:t>然后比如说GPU服务器高功耗下的这个供电稳定性要求，使得钽电容的用量达到传统服务器的十倍以上。然后包括作为这个光速高速光模块的核心材料的磷化铟衬底，它也有一个比较大的一个产能缺口。但是比如说相关的这些算力金属，就是这些可能小金属。跟算力有关的这些小金属，它的一个主要的一些供给弹性供给端是非常缺乏弹性的，它主要的产区产量受限，库存也处于一个历史低位，包括最近的一个矿难，也导致约15%的碳供应因矿难中断。然后本在这个供需双重的一个挤压下，那么过去半年像这个钽铟硒，它的价格也是涨超40%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09:10</w:t>
      </w:r>
    </w:p>
    <w:p>
      <w:r>
        <w:rPr>
          <w:rFonts w:ascii="等线(中文正文)" w:hAnsi="等线(中文正文)" w:cs="等线(中文正文)" w:eastAsia="等线(中文正文)"/>
          <w:b w:val="false"/>
          <w:i w:val="false"/>
          <w:sz w:val="20"/>
        </w:rPr>
        <w:t>这种从中中下游的一个一中下游的一个高景气向上游原材料传导，也是比较通顺的一个产业传导一个逻辑。目前的一个本身的AI基建的一个增速还在持续的上涨。但是像这种小金属的一个供给端还是持续受限，那么它本身的一个价格弹性是非常大的，也是我们值得关注的一个主题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09:37</w:t>
      </w:r>
    </w:p>
    <w:p>
      <w:r>
        <w:rPr>
          <w:rFonts w:ascii="等线(中文正文)" w:hAnsi="等线(中文正文)" w:cs="等线(中文正文)" w:eastAsia="等线(中文正文)"/>
          <w:b w:val="false"/>
          <w:i w:val="false"/>
          <w:sz w:val="20"/>
        </w:rPr>
        <w:t>然后再就是我们对于对于上周的一个政策动态的跟踪。上周在比如说在整个科技领域，人工智能的话政策。上周的一个政策的边际变化，就包括这个啊比如说在工信部七部门发文，引导平台企业加强通用大模型、行业大模型和智能体创新布局。商务部等八部门联合出台了加快人工智能加消费发展的实施意见，然后工信部提出深入实施人工智能加制造专项行动。我们可以看到AI政策对从早期单纯的鼓励算力建设的阶段开始，逐步的侧重这个C端的就是应用层的一些点，就是解决现在有产品无市场的堵点，重点就在这个消费电子，智能家居、高端制造，包括这个端侧AI这种实际的商业场景中，寻找像目前AI赋能的一些实际的商业落地的空间。其实在模型层的话，我们也看到近期这个豆包开始出现出版专业版，然后进行一定的收费会员。可以看到现在的C端的一个，商业的一个闭环，就是它整个收费的和盈利的一个逻辑正在逐步的开始进行探索和落地。第二个就是关于资本市场和金融环境的一个变化，就主要是上周的一个陆家嘴论坛，金融监管高层集体发声，释放了资本市场持续深化改革的强烈信号，我们它的一个主要的一个特点就是强调全面拥抱硬科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11:17</w:t>
      </w:r>
    </w:p>
    <w:p>
      <w:r>
        <w:rPr>
          <w:rFonts w:ascii="等线(中文正文)" w:hAnsi="等线(中文正文)" w:cs="等线(中文正文)" w:eastAsia="等线(中文正文)"/>
          <w:b w:val="false"/>
          <w:i w:val="false"/>
          <w:sz w:val="20"/>
        </w:rPr>
        <w:t>包括上交所也发布了人工智能大模型使用科创板第五套上市标准的审核指引，然后上交所理事长也明确表示着力打造宽基加科创加红利的指数体系，营造长线长投的市场。资本市场正在发挥试验田功能，通过自主创新，比如说像科创板第五套标准并购六调整，大力支持科技型企业做优做强，为我们一级和二级市场挖掘AI大模型半导体等方向提供了退出和融资的一个保障。这是我们关于政策动态的一个追踪，然后最后是我们关于上周的一个产业趋势的复盘，和和这个介绍回顾。首先产业趋势上周有一个比较比较大的一个变化，就是这个物理AI。我们昨天其实也专门有一个专题汇报，讲的这个物理AI的一个整个的技术架构和它的一个未来的一个演变，和它的一个本身的一个概念和的理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12:20</w:t>
      </w:r>
    </w:p>
    <w:p>
      <w:r>
        <w:rPr>
          <w:rFonts w:ascii="等线(中文正文)" w:hAnsi="等线(中文正文)" w:cs="等线(中文正文)" w:eastAsia="等线(中文正文)"/>
          <w:b w:val="false"/>
          <w:i w:val="false"/>
          <w:sz w:val="20"/>
        </w:rPr>
        <w:t>在刚举办的北京资源大会上，涤飞和资源研究院也将行业实现集体引向这个世界模型。资源也发布了全球首个通用世界基座模型物件。传统大模型在数字世界是你预测下一个词元，在世界模型实现了下一个物理状态的一个范式飞跃。让AI具备理解时空规律，推演场景演化的能力。我们在昨天的汇报里面也提到了世界模型也是物理ai解决他在淡化能力上的一个缺陷的一个主要的一个抓手。然后在这个应用层的话，阿里也正式发布了首个巨身大模型，成为robo的系列。然后在三方真机测评中，展现出无需绝对的坐标计算，直接基于画面自助你水龙头拔网线的这种物理能力然后微信支付也上线了智能体操控的AI专属卡，支付宝token pay也投入了规模化的应用，和这个mini max m3全面接入，那么AI已经从只能聊天引进到能指挥直接指挥agent，帮人花钱办生活服务的一个新阶段。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13:29</w:t>
      </w:r>
    </w:p>
    <w:p>
      <w:r>
        <w:rPr>
          <w:rFonts w:ascii="等线(中文正文)" w:hAnsi="等线(中文正文)" w:cs="等线(中文正文)" w:eastAsia="等线(中文正文)"/>
          <w:b w:val="false"/>
          <w:i w:val="false"/>
          <w:sz w:val="20"/>
        </w:rPr>
        <w:t>然后上周还有一个比较大的一个AI的更新，就是字符开源的新一代的旗舰大模型。这个GLM5.2在111兆的这个超长上下文工程化应用上取得重大突破。更具风向标意义的是这个GRM2.5在5.2在上线首日即完成了与国内八大国产算力品牌的推理适配，实现了开源国模加国产专利的一个融合。在海外的顶级必然模型面临地缘政治和出口管制不确定性的背景下，国内企业出于安全可控和成本考量，也在加速拥抱这种可本地化部署的一个开源生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14:06</w:t>
      </w:r>
    </w:p>
    <w:p>
      <w:r>
        <w:rPr>
          <w:rFonts w:ascii="等线(中文正文)" w:hAnsi="等线(中文正文)" w:cs="等线(中文正文)" w:eastAsia="等线(中文正文)"/>
          <w:b w:val="false"/>
          <w:i w:val="false"/>
          <w:sz w:val="20"/>
        </w:rPr>
        <w:t>然后第二块就是关于硬件基础设施和底层材料的一些更新，首先是大厂进出算力护城河，也请关注公众号思维纪要社，更多纪要请加V西安20210130。字节跳动为代表的互联网大厂近期加量采购国产芯片，字节也在与天数之星洽谈云端推理GPU的供电，这代表着大厂的一个算力版图已进入这种训练和推理的供应链的一个拆分，然后集群训练和超大规模预训练的底座，在逐步的采用华为升腾寒武纪等高端训练卡。线上流量型含量推理的大规模接入一些专用的国产的一个推理TPU，迅推硬件分线布局，然后第二个就是像这个新材料的一些AI的一个新材料的一些更新。台积电首次公开披露了一与ABF钛板大厂面板厂群创共同验证玻璃基板的成果。数据显示可使先进封装撬取指标改善16%，散热和热膨胀性能大幅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15:10</w:t>
      </w:r>
    </w:p>
    <w:p>
      <w:r>
        <w:rPr>
          <w:rFonts w:ascii="等线(中文正文)" w:hAnsi="等线(中文正文)" w:cs="等线(中文正文)" w:eastAsia="等线(中文正文)"/>
          <w:b w:val="false"/>
          <w:i w:val="false"/>
          <w:sz w:val="20"/>
        </w:rPr>
        <w:t>第二个就是磷化铟方面，这个也是我们刚刚提到算力金属的一个重要的细分方向。英伟达战略投资的这个coherent的构建全球首个量产型6英寸磷化寅清原厂。在AI的一个超级周期下，数据中心对于高速光连接和磷化银激光器的刚性需求，也让这个进入一高进入壁垒长扩张周期的一个核心衬底面临持续扩大的一个共性缺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15:35</w:t>
      </w:r>
    </w:p>
    <w:p>
      <w:r>
        <w:rPr>
          <w:rFonts w:ascii="等线(中文正文)" w:hAnsi="等线(中文正文)" w:cs="等线(中文正文)" w:eastAsia="等线(中文正文)"/>
          <w:b w:val="false"/>
          <w:i w:val="false"/>
          <w:sz w:val="20"/>
        </w:rPr>
        <w:t>以上就是我汇报的全部内容，然后欢迎大家联系我进行进一步的交流。然后感谢各位投资者的参会，祝大家生活愉快，谢谢。感谢大家参加今天的会议，祝大家生活愉快，再见。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2026-06-27T12:00:50Z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E6636BB100BBAFBB4581D91E6DDB8F14047DBE5C43FDD2E56AD6463F44DFE5AAEEFB9DEC4550EDD4A81FD77F3D1F40081061F4C3E95B28D45FCAFC765202CE3D5536B35</vt:lpwstr>
  </property>
</Properties>
</file>