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华创总量联合 - 中美央行新框架——总量“创”辩第131期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货币政策 融资风险 信用指标 融资工具 市场定价 融资信用溢价 股价预警器 信用体温计 政策利率 逆回购操作 七天逆回购 七天资金价格 央行 DR01 资金价格 流动性管理 贷款利率 D2001 隔夜逆回购 OMO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创总量联合组织的第131期讨论会深入探讨了金融市场、货币政策、资本开支、投资策略以及国内外经济形势等多领域议题。会议重点分析了金融监管部署、美联储及中美央行的政策调整对市场流动性的影响，同时关注了AI投资、股票市场表现和大类资产配置。讨论还涵盖了原油市场的供需与价格走势预测，特别强调了科技金融的重要性及中美货币政策变动对金融市场的波及效应。此外，会议还提及了陆家嘴论坛上的政策信息，并对银行、非银金融、保险等行业的发展趋势进行了展望，旨在为投资者提供全面、深入的市场分析与策略指导。</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中美货币政策调整与流动性环境变化</w:t>
      </w:r>
    </w:p>
    <w:p>
      <w:r>
        <w:rPr>
          <w:rFonts w:ascii="等线(中文正文)" w:hAnsi="等线(中文正文)" w:cs="等线(中文正文)" w:eastAsia="等线(中文正文)"/>
          <w:b w:val="false"/>
          <w:i w:val="false"/>
          <w:sz w:val="20"/>
        </w:rPr>
        <w:t>对话围绕中美货币政策框架调整展开，讨论了由此带来的流动性环境变化及对重要资产波动率的影响。提及美股七巨头资本开支大幅增加，外部融资成为必要，外资工具受到关注，整体分析了市场波动与融资需求的关系。</w:t>
      </w:r>
    </w:p>
    <w:p>
      <w:r>
        <w:rPr>
          <w:rFonts w:ascii="等线(中文正文)" w:hAnsi="等线(中文正文)" w:cs="等线(中文正文)" w:eastAsia="等线(中文正文)"/>
          <w:b w:val="false"/>
          <w:i w:val="false"/>
          <w:sz w:val="20"/>
        </w:rPr>
        <w:t/>
      </w:r>
    </w:p>
    <w:p>
      <w:pPr>
        <w:pStyle w:val="ab"/>
        <w:numPr>
          <w:numId w:val="2"/>
        </w:numPr>
      </w:pPr>
      <w:r>
        <w:t>02:11 融资风险指标与AI股价预测：信用体温计非预警器</w:t>
      </w:r>
    </w:p>
    <w:p>
      <w:r>
        <w:rPr>
          <w:rFonts w:ascii="等线(中文正文)" w:hAnsi="等线(中文正文)" w:cs="等线(中文正文)" w:eastAsia="等线(中文正文)"/>
          <w:b w:val="false"/>
          <w:i w:val="false"/>
          <w:sz w:val="20"/>
        </w:rPr>
        <w:t>讨论了未来支出承诺对美股巨头财务状况的影响，分析了融资风险的五大跟踪指标，并指出这些信用指标虽能反映违约概率，但无法前瞻股价拐点，强调了历史数据的局限性。</w:t>
      </w:r>
    </w:p>
    <w:p>
      <w:r>
        <w:rPr>
          <w:rFonts w:ascii="等线(中文正文)" w:hAnsi="等线(中文正文)" w:cs="等线(中文正文)" w:eastAsia="等线(中文正文)"/>
          <w:b w:val="false"/>
          <w:i w:val="false"/>
          <w:sz w:val="20"/>
        </w:rPr>
        <w:t/>
      </w:r>
    </w:p>
    <w:p>
      <w:pPr>
        <w:pStyle w:val="ab"/>
        <w:numPr>
          <w:numId w:val="3"/>
        </w:numPr>
      </w:pPr>
      <w:r>
        <w:t>05:44 AI驱动板块分析与市场分化趋势</w:t>
      </w:r>
    </w:p>
    <w:p>
      <w:r>
        <w:rPr>
          <w:rFonts w:ascii="等线(中文正文)" w:hAnsi="等线(中文正文)" w:cs="等线(中文正文)" w:eastAsia="等线(中文正文)"/>
          <w:b w:val="false"/>
          <w:i w:val="false"/>
          <w:sz w:val="20"/>
        </w:rPr>
        <w:t>讨论了市场分化背后的筹码分布优势与基本面关系，回顾21年茅指数与宁指数分化情况，指出当时家电、白酒和医药行业盈利见顶后下滑，资源品因煤炭价格上涨而业绩上行。当前，电子通信、机械和建材等板块因AI带动盈利增长并跑赢大盘，而地产、消费等板块则呈现盈利下滑股价跑输的状况。整体来看，AI并未形成极端泡沫，市场正逐步寻找供需紧张的板块以实现业绩上行。</w:t>
      </w:r>
    </w:p>
    <w:p>
      <w:r>
        <w:rPr>
          <w:rFonts w:ascii="等线(中文正文)" w:hAnsi="等线(中文正文)" w:cs="等线(中文正文)" w:eastAsia="等线(中文正文)"/>
          <w:b w:val="false"/>
          <w:i w:val="false"/>
          <w:sz w:val="20"/>
        </w:rPr>
        <w:t/>
      </w:r>
    </w:p>
    <w:p>
      <w:pPr>
        <w:pStyle w:val="ab"/>
        <w:numPr>
          <w:numId w:val="4"/>
        </w:numPr>
      </w:pPr>
      <w:r>
        <w:t>08:50 AI与资源品市场分析及下半年政策预期</w:t>
      </w:r>
    </w:p>
    <w:p>
      <w:r>
        <w:rPr>
          <w:rFonts w:ascii="等线(中文正文)" w:hAnsi="等线(中文正文)" w:cs="等线(中文正文)" w:eastAsia="等线(中文正文)"/>
          <w:b w:val="false"/>
          <w:i w:val="false"/>
          <w:sz w:val="20"/>
        </w:rPr>
        <w:t>对话讨论了AI产业的供需平衡与资源品市场的估值修复可能性。指出AI需求虽强劲，但供给增长有限，市场处于合理定价状态。资源品如铜铝价格已回调，预期未来估值将修复。此外，家电、医药等板块因理财项目占用现金分红能力承压。下半年政策加码可能引发市场风格切换，否则将继续关注金融风险。</w:t>
      </w:r>
    </w:p>
    <w:p>
      <w:r>
        <w:rPr>
          <w:rFonts w:ascii="等线(中文正文)" w:hAnsi="等线(中文正文)" w:cs="等线(中文正文)" w:eastAsia="等线(中文正文)"/>
          <w:b w:val="false"/>
          <w:i w:val="false"/>
          <w:sz w:val="20"/>
        </w:rPr>
        <w:t/>
      </w:r>
    </w:p>
    <w:p>
      <w:pPr>
        <w:pStyle w:val="ab"/>
        <w:numPr>
          <w:numId w:val="5"/>
        </w:numPr>
      </w:pPr>
      <w:r>
        <w:t>12:03 陆家嘴论坛解析：货币政策框架改革与市场关注要点</w:t>
      </w:r>
    </w:p>
    <w:p>
      <w:r>
        <w:rPr>
          <w:rFonts w:ascii="等线(中文正文)" w:hAnsi="等线(中文正文)" w:cs="等线(中文正文)" w:eastAsia="等线(中文正文)"/>
          <w:b w:val="false"/>
          <w:i w:val="false"/>
          <w:sz w:val="20"/>
        </w:rPr>
        <w:t>陆家嘴论坛上，央行强调七天逆回购利率为核心政策利率，未转向隔夜利率，市场对此反应中性。会议还提出DR001资金价格波动收窄，可能纳入贷款利率定价基准，流动性管理工具箱进一步丰富，包括适时推出隔夜OMO和特定情景下的非银流动性工具。此外，央行强调推进金融领域开放，提升中国金融市场国际化水平，包括创设境外央行类机构回购工具等举措。</w:t>
      </w:r>
    </w:p>
    <w:p>
      <w:r>
        <w:rPr>
          <w:rFonts w:ascii="等线(中文正文)" w:hAnsi="等线(中文正文)" w:cs="等线(中文正文)" w:eastAsia="等线(中文正文)"/>
          <w:b w:val="false"/>
          <w:i w:val="false"/>
          <w:sz w:val="20"/>
        </w:rPr>
        <w:t/>
      </w:r>
    </w:p>
    <w:p>
      <w:pPr>
        <w:pStyle w:val="ab"/>
        <w:numPr>
          <w:numId w:val="6"/>
        </w:numPr>
      </w:pPr>
      <w:r>
        <w:t>18:58 美联储六月会议释放三大政策信号</w:t>
      </w:r>
    </w:p>
    <w:p>
      <w:r>
        <w:rPr>
          <w:rFonts w:ascii="等线(中文正文)" w:hAnsi="等线(中文正文)" w:cs="等线(中文正文)" w:eastAsia="等线(中文正文)"/>
          <w:b w:val="false"/>
          <w:i w:val="false"/>
          <w:sz w:val="20"/>
        </w:rPr>
        <w:t>美联储六月会议维持利率不变，新主席沃什宣布将精简会议声明，推动系统性政策检视，探索使用新高频数据指导决策。会议透露，未来货币政策可能更加前瞻，地缘政治缓和和油价回落减轻通胀压力，预示全年利率可能稳定，利好美债和股市，同时强调评估通胀框架与资产负债表的重要性。</w:t>
      </w:r>
    </w:p>
    <w:p>
      <w:r>
        <w:rPr>
          <w:rFonts w:ascii="等线(中文正文)" w:hAnsi="等线(中文正文)" w:cs="等线(中文正文)" w:eastAsia="等线(中文正文)"/>
          <w:b w:val="false"/>
          <w:i w:val="false"/>
          <w:sz w:val="20"/>
        </w:rPr>
        <w:t/>
      </w:r>
    </w:p>
    <w:p>
      <w:pPr>
        <w:pStyle w:val="ab"/>
        <w:numPr>
          <w:numId w:val="7"/>
        </w:numPr>
      </w:pPr>
      <w:r>
        <w:t>24:29 市场分析与投资策略周报</w:t>
      </w:r>
    </w:p>
    <w:p>
      <w:r>
        <w:rPr>
          <w:rFonts w:ascii="等线(中文正文)" w:hAnsi="等线(中文正文)" w:cs="等线(中文正文)" w:eastAsia="等线(中文正文)"/>
          <w:b w:val="false"/>
          <w:i w:val="false"/>
          <w:sz w:val="20"/>
        </w:rPr>
        <w:t>本周市场指数普遍上涨，电子、通信等行业表现突出，资金流向显示电子、通信等行业获主力资金青睐。基金方面，偏股混合基金表现较好。A股市场短期模型中性，中期模型看多，预计后市将从震荡转为震荡偏多。港股模型看多恒生指数。建议关注有色、电力、公共事业等五个行业。</w:t>
      </w:r>
    </w:p>
    <w:p>
      <w:r>
        <w:rPr>
          <w:rFonts w:ascii="等线(中文正文)" w:hAnsi="等线(中文正文)" w:cs="等线(中文正文)" w:eastAsia="等线(中文正文)"/>
          <w:b w:val="false"/>
          <w:i w:val="false"/>
          <w:sz w:val="20"/>
        </w:rPr>
        <w:t/>
      </w:r>
    </w:p>
    <w:p>
      <w:pPr>
        <w:pStyle w:val="ab"/>
        <w:numPr>
          <w:numId w:val="8"/>
        </w:numPr>
      </w:pPr>
      <w:r>
        <w:t>27:24 政策与资金面变化下的科技股强势表现</w:t>
      </w:r>
    </w:p>
    <w:p>
      <w:r>
        <w:rPr>
          <w:rFonts w:ascii="等线(中文正文)" w:hAnsi="等线(中文正文)" w:cs="等线(中文正文)" w:eastAsia="等线(中文正文)"/>
          <w:b w:val="false"/>
          <w:i w:val="false"/>
          <w:sz w:val="20"/>
        </w:rPr>
        <w:t>对话聚焦于陆家嘴论坛后政策面与资金面的变化，特别是央行和证监会关于金融创新、科技金融支持及长期资金入市的政策导向。科技股因政策支持和资金流入表现强势，中证指数公司调整样本股进一步推升科技股权重，形成明显的K型分化。</w:t>
      </w:r>
    </w:p>
    <w:p>
      <w:r>
        <w:rPr>
          <w:rFonts w:ascii="等线(中文正文)" w:hAnsi="等线(中文正文)" w:cs="等线(中文正文)" w:eastAsia="等线(中文正文)"/>
          <w:b w:val="false"/>
          <w:i w:val="false"/>
          <w:sz w:val="20"/>
        </w:rPr>
        <w:t/>
      </w:r>
    </w:p>
    <w:p>
      <w:pPr>
        <w:pStyle w:val="ab"/>
        <w:numPr>
          <w:numId w:val="9"/>
        </w:numPr>
      </w:pPr>
      <w:r>
        <w:t>32:03 科技行情下的金融板块调整与长期前景分析</w:t>
      </w:r>
    </w:p>
    <w:p>
      <w:r>
        <w:rPr>
          <w:rFonts w:ascii="等线(中文正文)" w:hAnsi="等线(中文正文)" w:cs="等线(中文正文)" w:eastAsia="等线(中文正文)"/>
          <w:b w:val="false"/>
          <w:i w:val="false"/>
          <w:sz w:val="20"/>
        </w:rPr>
        <w:t>对话讨论了近25年来科技行业在主流框架中的权重持续提升，尤其是芯片、光通信等硬科技领域的表现，对金融等传统行业形成流动性挤占。尽管近期金融板块如银行、保险、券商出现调整，但基本面稳健，中长期有望回归均值。银行稳健经营，保险资金入市，券商资本中介作用增强，预示着科技金融向上趋势中，金融板块的股价有较大上涨概率，建议关注银行和非银金融的中长期投资机会。</w:t>
      </w:r>
    </w:p>
    <w:p>
      <w:r>
        <w:rPr>
          <w:rFonts w:ascii="等线(中文正文)" w:hAnsi="等线(中文正文)" w:cs="等线(中文正文)" w:eastAsia="等线(中文正文)"/>
          <w:b w:val="false"/>
          <w:i w:val="false"/>
          <w:sz w:val="20"/>
        </w:rPr>
        <w:t/>
      </w:r>
    </w:p>
    <w:p>
      <w:pPr>
        <w:pStyle w:val="ab"/>
        <w:numPr>
          <w:numId w:val="10"/>
        </w:numPr>
      </w:pPr>
      <w:r>
        <w:t>34:44 原油市场分析与未来趋势预测</w:t>
      </w:r>
    </w:p>
    <w:p>
      <w:r>
        <w:rPr>
          <w:rFonts w:ascii="等线(中文正文)" w:hAnsi="等线(中文正文)" w:cs="等线(中文正文)" w:eastAsia="等线(中文正文)"/>
          <w:b w:val="false"/>
          <w:i w:val="false"/>
          <w:sz w:val="20"/>
        </w:rPr>
        <w:t>对话深入探讨了原油市场的短期与中长期走势，指出美伊冲突可能带来的短期上行风险，以及需求端疲软和供给端压力导致的中长期偏空观点。分析了全球原油供需变化，特别是中东国家出口下降与非中东国家增产的影响，强调了需求恢复对原油价格的关键作用。未来，原油价格面临下行压力，需重点关注中国需求端的恢复情况。</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在讨论中介绍了华创总量联合第131期的主题，集中于探讨心慌感及其与中美金融政策调整的关系。随后，深入分析了美联储和中国人民银行的政策变动，及其对市场流动性环境可能产生的影响。强调在当前货币框架调整下，市场流动性演进与资产价格波动的紧密相关性，讨论了融资风险、信用溢价，以及融资工具变化和信用指标对评估市场风险的重要性。
此外，他扩展到科技行业和资本市场制度改革对A股市场的影响，提到了支持科技创新和提升金融行业对外开放度的政策积极面。同时，分析了油价变动，指出供需关系、政策因素及全球经济状况对原油市场的重要影响。
总体而言，他的发言内容广泛覆盖了宏观经济政策、金融市场流动性、行业分析及政策改革等关键领域，为投资者提供了对当前市场状况的深度理解及未来趋势的前瞻。</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问：在当前的货币框架调整下，流动性环境会如何演进？</w:t>
      </w:r>
    </w:p>
    <w:p>
      <w:r>
        <w:rPr>
          <w:rFonts w:ascii="等线(中文正文)" w:hAnsi="等线(中文正文)" w:cs="等线(中文正文)" w:eastAsia="等线(中文正文)"/>
          <w:b w:val="false"/>
          <w:i w:val="false"/>
          <w:sz w:val="20"/>
        </w:rPr>
        <w:t>发言人1 答：流动性环境的变化是本次讨论的重点，尤其是在中美央行货币政策框架调整之后，我们将探讨这一变化对市场的影响。</w:t>
      </w:r>
    </w:p>
    <w:p>
      <w:r>
        <w:rPr>
          <w:rFonts w:ascii="等线(中文正文)" w:hAnsi="等线(中文正文)" w:cs="等线(中文正文)" w:eastAsia="等线(中文正文)"/>
          <w:b w:val="false"/>
          <w:i w:val="false"/>
          <w:sz w:val="20"/>
        </w:rPr>
        <w:t/>
      </w:r>
    </w:p>
    <w:p>
      <w:pPr>
        <w:pStyle w:val="ab"/>
      </w:pPr>
      <w:r>
        <w:t>发言人1 问：当前美股巨头的资本开支情况如何？</w:t>
      </w:r>
    </w:p>
    <w:p>
      <w:r>
        <w:rPr>
          <w:rFonts w:ascii="等线(中文正文)" w:hAnsi="等线(中文正文)" w:cs="等线(中文正文)" w:eastAsia="等线(中文正文)"/>
          <w:b w:val="false"/>
          <w:i w:val="false"/>
          <w:sz w:val="20"/>
        </w:rPr>
        <w:t>发言人1 答：美股七巨头的资本开支从2020年到2025年经历了显著增长，预计2026年将进一步增加至七八千亿美金级别。其中，四家云服务商的经营现金流已不足以覆盖开发支出，导致外部融资从可选项变为必选项。</w:t>
      </w:r>
    </w:p>
    <w:p>
      <w:r>
        <w:rPr>
          <w:rFonts w:ascii="等线(中文正文)" w:hAnsi="等线(中文正文)" w:cs="等线(中文正文)" w:eastAsia="等线(中文正文)"/>
          <w:b w:val="false"/>
          <w:i w:val="false"/>
          <w:sz w:val="20"/>
        </w:rPr>
        <w:t/>
      </w:r>
    </w:p>
    <w:p>
      <w:pPr>
        <w:pStyle w:val="ab"/>
      </w:pPr>
      <w:r>
        <w:t>发言人1 问：AI领域的股价拐点是否可以通过一些指标来预测？融资风险跟踪指标能否帮助我们预判AI股价拐点？</w:t>
      </w:r>
    </w:p>
    <w:p>
      <w:r>
        <w:rPr>
          <w:rFonts w:ascii="等线(中文正文)" w:hAnsi="等线(中文正文)" w:cs="等线(中文正文)" w:eastAsia="等线(中文正文)"/>
          <w:b w:val="false"/>
          <w:i w:val="false"/>
          <w:sz w:val="20"/>
        </w:rPr>
        <w:t>发言人1 答：我们分析了历史数据和当前情况，并得出结论，基于已签订但未入表的未来支出承诺（约为1.5万亿美元），以及表内和表外融资工具的情况，目前的融资风险指标均在正常区间之内。这些指标更多地反映了公司的信用风险水平，而非前瞻预测AI股价的具体拐点。经过梳理，我们构建了五个融资风险跟踪指标，包括OASCDS认购倍数、评级、数据中心ABF等，用以全面观察融资风险或融资信用溢价。但根据历史经验，这些指标并不能有效前瞻AI股价拐点，它们更像是一个衡量违约概率的“信用体温计”，而非股价走势的预警器。</w:t>
      </w:r>
    </w:p>
    <w:p>
      <w:r>
        <w:rPr>
          <w:rFonts w:ascii="等线(中文正文)" w:hAnsi="等线(中文正文)" w:cs="等线(中文正文)" w:eastAsia="等线(中文正文)"/>
          <w:b w:val="false"/>
          <w:i w:val="false"/>
          <w:sz w:val="20"/>
        </w:rPr>
        <w:t/>
      </w:r>
    </w:p>
    <w:p>
      <w:pPr>
        <w:pStyle w:val="ab"/>
      </w:pPr>
      <w:r>
        <w:t>发言人1 问：在当前市场环境下，哪些板块表现强势且盈利状况良好？资源品板块是否被错杀，其盈利和股价表现如何？</w:t>
      </w:r>
    </w:p>
    <w:p>
      <w:r>
        <w:rPr>
          <w:rFonts w:ascii="等线(中文正文)" w:hAnsi="等线(中文正文)" w:cs="等线(中文正文)" w:eastAsia="等线(中文正文)"/>
          <w:b w:val="false"/>
          <w:i w:val="false"/>
          <w:sz w:val="20"/>
        </w:rPr>
        <w:t>发言人1 答：自4月7号以来，电子通信、机械和建材这三个板块表现强势，不仅盈利上升，其股价也跑赢大盘。其中，机械和建材中的自动化设备以及8000以上被AI带动的细分行业，在过去两个月虽然盈利下行，但股价却出现明显的上涨。资源品板块在一定程度上可能是被错杀的。以铜铝等商品价格为例，它们在战争冲突前已回到前疫情水平，目前基本处于供给定价过程。随着海峡有望恢复通畅以及释放更多偏高海信号，今年周期资源品种如工业金属、化工和煤炭的EPS有望得到估值修复。</w:t>
      </w:r>
    </w:p>
    <w:p>
      <w:r>
        <w:rPr>
          <w:rFonts w:ascii="等线(中文正文)" w:hAnsi="等线(中文正文)" w:cs="等线(中文正文)" w:eastAsia="等线(中文正文)"/>
          <w:b w:val="false"/>
          <w:i w:val="false"/>
          <w:sz w:val="20"/>
        </w:rPr>
        <w:t/>
      </w:r>
    </w:p>
    <w:p>
      <w:pPr>
        <w:pStyle w:val="ab"/>
      </w:pPr>
      <w:r>
        <w:t>发言人1 问：目前AI领域是否存在金融泡沫现象？</w:t>
      </w:r>
    </w:p>
    <w:p>
      <w:r>
        <w:rPr>
          <w:rFonts w:ascii="等线(中文正文)" w:hAnsi="等线(中文正文)" w:cs="等线(中文正文)" w:eastAsia="等线(中文正文)"/>
          <w:b w:val="false"/>
          <w:i w:val="false"/>
          <w:sz w:val="20"/>
        </w:rPr>
        <w:t>发言人1 答：根据目前情况，AI领域并没有呈现出极端的金融泡沫论。这一轮行情并非全面扩散，而是逐步聚焦供需最紧张的板块，形成实物AI应用通道，从而带来业绩上行。</w:t>
      </w:r>
    </w:p>
    <w:p>
      <w:r>
        <w:rPr>
          <w:rFonts w:ascii="等线(中文正文)" w:hAnsi="等线(中文正文)" w:cs="等线(中文正文)" w:eastAsia="等线(中文正文)"/>
          <w:b w:val="false"/>
          <w:i w:val="false"/>
          <w:sz w:val="20"/>
        </w:rPr>
        <w:t/>
      </w:r>
    </w:p>
    <w:p>
      <w:pPr>
        <w:pStyle w:val="ab"/>
      </w:pPr>
      <w:r>
        <w:t>发言人1 问：AI产业链中核心部件的供应情况如何？</w:t>
      </w:r>
    </w:p>
    <w:p>
      <w:r>
        <w:rPr>
          <w:rFonts w:ascii="等线(中文正文)" w:hAnsi="等线(中文正文)" w:cs="等线(中文正文)" w:eastAsia="等线(中文正文)"/>
          <w:b w:val="false"/>
          <w:i w:val="false"/>
          <w:sz w:val="20"/>
        </w:rPr>
        <w:t>发言人1 答：从核心部件供应角度看，相较于新能源领域，AI领域的资本开支强度和供应力度并不那么强烈。原因在于供给认证门槛较高，且地方政府参与程度相对较低，此外，AI需求是非线性增长的破坏性创新需求，而非替代需求，因此相关企业扩张力度并不强。</w:t>
      </w:r>
    </w:p>
    <w:p>
      <w:r>
        <w:rPr>
          <w:rFonts w:ascii="等线(中文正文)" w:hAnsi="等线(中文正文)" w:cs="等线(中文正文)" w:eastAsia="等线(中文正文)"/>
          <w:b w:val="false"/>
          <w:i w:val="false"/>
          <w:sz w:val="20"/>
        </w:rPr>
        <w:t/>
      </w:r>
    </w:p>
    <w:p>
      <w:pPr>
        <w:pStyle w:val="ab"/>
      </w:pPr>
      <w:r>
        <w:t>发言人1 问：对于高股息板块，其盈利和现金流状况如何？</w:t>
      </w:r>
    </w:p>
    <w:p>
      <w:r>
        <w:rPr>
          <w:rFonts w:ascii="等线(中文正文)" w:hAnsi="等线(中文正文)" w:cs="等线(中文正文)" w:eastAsia="等线(中文正文)"/>
          <w:b w:val="false"/>
          <w:i w:val="false"/>
          <w:sz w:val="20"/>
        </w:rPr>
        <w:t>发言人1 答：目前高股息板块盈利确实在上升，但部分板块如白酒经销商贷款和库存等问题导致现金流和高股息背后的分股能力可能承压。另外，家电或医药板块存在较多理财项目占用资金，也影响了现金分红能力。</w:t>
      </w:r>
    </w:p>
    <w:p>
      <w:r>
        <w:rPr>
          <w:rFonts w:ascii="等线(中文正文)" w:hAnsi="等线(中文正文)" w:cs="等线(中文正文)" w:eastAsia="等线(中文正文)"/>
          <w:b w:val="false"/>
          <w:i w:val="false"/>
          <w:sz w:val="20"/>
        </w:rPr>
        <w:t/>
      </w:r>
    </w:p>
    <w:p>
      <w:pPr>
        <w:pStyle w:val="ab"/>
      </w:pPr>
      <w:r>
        <w:t>发言人1 问：当前市场整体定价合理，未来风格切换的可能性如何？</w:t>
      </w:r>
    </w:p>
    <w:p>
      <w:r>
        <w:rPr>
          <w:rFonts w:ascii="等线(中文正文)" w:hAnsi="等线(中文正文)" w:cs="等线(中文正文)" w:eastAsia="等线(中文正文)"/>
          <w:b w:val="false"/>
          <w:i w:val="false"/>
          <w:sz w:val="20"/>
        </w:rPr>
        <w:t>发言人1 答：当前市场股价与盈利相对定价合理，是否会出现明显的高低切换还需看政策走向。若下半年政策会议有关内需的实质性加码，可能会出现风格切换；否则，市场可能会更多讨论金融风险问题。</w:t>
      </w:r>
    </w:p>
    <w:p>
      <w:r>
        <w:rPr>
          <w:rFonts w:ascii="等线(中文正文)" w:hAnsi="等线(中文正文)" w:cs="等线(中文正文)" w:eastAsia="等线(中文正文)"/>
          <w:b w:val="false"/>
          <w:i w:val="false"/>
          <w:sz w:val="20"/>
        </w:rPr>
        <w:t/>
      </w:r>
    </w:p>
    <w:p>
      <w:pPr>
        <w:pStyle w:val="ab"/>
      </w:pPr>
      <w:r>
        <w:t>发言人1 问：陆家嘴论坛上关于货币政策调控框架的最新动态是什么？</w:t>
      </w:r>
    </w:p>
    <w:p>
      <w:r>
        <w:rPr>
          <w:rFonts w:ascii="等线(中文正文)" w:hAnsi="等线(中文正文)" w:cs="等线(中文正文)" w:eastAsia="等线(中文正文)"/>
          <w:b w:val="false"/>
          <w:i w:val="false"/>
          <w:sz w:val="20"/>
        </w:rPr>
        <w:t>发言人1 答：在陆家嘴论坛上，央行进一步明确了七天逆回购操作利率的地位，它仍然是央行的主要政策利率，并有效发挥了市场定价锚的作用，使得短端利率波动降低。同时，隔夜临时隔夜镇定回购的调控区间依然围绕七天逆回购上下波动，表明此前市场关注的换毛交易并未发生，对债券市场而言，七天逆回购继续发挥政策利率地位，对市场影响中性。</w:t>
      </w:r>
    </w:p>
    <w:p>
      <w:r>
        <w:rPr>
          <w:rFonts w:ascii="等线(中文正文)" w:hAnsi="等线(中文正文)" w:cs="等线(中文正文)" w:eastAsia="等线(中文正文)"/>
          <w:b w:val="false"/>
          <w:i w:val="false"/>
          <w:sz w:val="20"/>
        </w:rPr>
        <w:t/>
      </w:r>
    </w:p>
    <w:p>
      <w:pPr>
        <w:pStyle w:val="ab"/>
      </w:pPr>
      <w:r>
        <w:t>发言人1 问：DR001的价格波动受到央行怎样的关注，以及其在政策工具中的角色是什么？</w:t>
      </w:r>
    </w:p>
    <w:p>
      <w:r>
        <w:rPr>
          <w:rFonts w:ascii="等线(中文正文)" w:hAnsi="等线(中文正文)" w:cs="等线(中文正文)" w:eastAsia="等线(中文正文)"/>
          <w:b w:val="false"/>
          <w:i w:val="false"/>
          <w:sz w:val="20"/>
        </w:rPr>
        <w:t>发言人1 答：DR001作为一个市场资金价格，受到了央行的持续关注。它作为临时隔夜正逆回购工具启动的标准触发条件，其波动走廊收窄至上下25个BP，并且操作时间调整为每个工作日下午的3点到3点半。央行通过关注DR001，并创新相应政策工具，以调控资金价格。</w:t>
      </w:r>
    </w:p>
    <w:p>
      <w:r>
        <w:rPr>
          <w:rFonts w:ascii="等线(中文正文)" w:hAnsi="等线(中文正文)" w:cs="等线(中文正文)" w:eastAsia="等线(中文正文)"/>
          <w:b w:val="false"/>
          <w:i w:val="false"/>
          <w:sz w:val="20"/>
        </w:rPr>
        <w:t/>
      </w:r>
    </w:p>
    <w:p>
      <w:pPr>
        <w:pStyle w:val="ab"/>
      </w:pPr>
      <w:r>
        <w:t>发言人1 问：贷款利率定价基准是否会从单一转向多元化，DR001在这个改革中扮演什么角色？</w:t>
      </w:r>
    </w:p>
    <w:p>
      <w:r>
        <w:rPr>
          <w:rFonts w:ascii="等线(中文正文)" w:hAnsi="等线(中文正文)" w:cs="等线(中文正文)" w:eastAsia="等线(中文正文)"/>
          <w:b w:val="false"/>
          <w:i w:val="false"/>
          <w:sz w:val="20"/>
        </w:rPr>
        <w:t>发言人1 答：央行在一季度的货币政策执行报告中探讨了未来贷款利率定价基准多元化改革的可能性。DR001作为一个重要的资金价格指标，可能会被纳入政策利率框架中，与LPR并行引导贷款利率价格，因此这一改革方向值得关注。</w:t>
      </w:r>
    </w:p>
    <w:p>
      <w:r>
        <w:rPr>
          <w:rFonts w:ascii="等线(中文正文)" w:hAnsi="等线(中文正文)" w:cs="等线(中文正文)" w:eastAsia="等线(中文正文)"/>
          <w:b w:val="false"/>
          <w:i w:val="false"/>
          <w:sz w:val="20"/>
        </w:rPr>
        <w:t/>
      </w:r>
    </w:p>
    <w:p>
      <w:pPr>
        <w:pStyle w:val="ab"/>
      </w:pPr>
      <w:r>
        <w:t>发言人1 问：央行流动性管理工具箱的情况如何，未来有哪些具体措施？</w:t>
      </w:r>
    </w:p>
    <w:p>
      <w:r>
        <w:rPr>
          <w:rFonts w:ascii="等线(中文正文)" w:hAnsi="等线(中文正文)" w:cs="等线(中文正文)" w:eastAsia="等线(中文正文)"/>
          <w:b w:val="false"/>
          <w:i w:val="false"/>
          <w:sz w:val="20"/>
        </w:rPr>
        <w:t>发言人1 答：央行流动性管理工具箱进一步丰富，尽管仍以七天逆回购操作利率为主，但未来会适时推出隔夜OMO来辅助管理流动性。此外，央行还提到会设定特定情景下的非银流动性工具，以支持宏观审慎工具，提升应对包商银行事件、永煤事件等类似事件时的调控效率。</w:t>
      </w:r>
    </w:p>
    <w:p>
      <w:r>
        <w:rPr>
          <w:rFonts w:ascii="等线(中文正文)" w:hAnsi="等线(中文正文)" w:cs="等线(中文正文)" w:eastAsia="等线(中文正文)"/>
          <w:b w:val="false"/>
          <w:i w:val="false"/>
          <w:sz w:val="20"/>
        </w:rPr>
        <w:t/>
      </w:r>
    </w:p>
    <w:p>
      <w:pPr>
        <w:pStyle w:val="ab"/>
      </w:pPr>
      <w:r>
        <w:t>发言人1 问：在金融开放和国际化方面，央行有哪些新举措？</w:t>
      </w:r>
    </w:p>
    <w:p>
      <w:r>
        <w:rPr>
          <w:rFonts w:ascii="等线(中文正文)" w:hAnsi="等线(中文正文)" w:cs="等线(中文正文)" w:eastAsia="等线(中文正文)"/>
          <w:b w:val="false"/>
          <w:i w:val="false"/>
          <w:sz w:val="20"/>
        </w:rPr>
        <w:t>发言人1 答：央行强调推进金融领域的制度性开放，提升中国金融市场的国际化水平。具体措施包括创设境外央行类机构的回购工具、在上海自贸区开展离岸人民币外汇交易试点，以及出台上海国际金融中心建设离岸金融行动方案。</w:t>
      </w:r>
    </w:p>
    <w:p>
      <w:r>
        <w:rPr>
          <w:rFonts w:ascii="等线(中文正文)" w:hAnsi="等线(中文正文)" w:cs="等线(中文正文)" w:eastAsia="等线(中文正文)"/>
          <w:b w:val="false"/>
          <w:i w:val="false"/>
          <w:sz w:val="20"/>
        </w:rPr>
        <w:t/>
      </w:r>
    </w:p>
    <w:p>
      <w:pPr>
        <w:pStyle w:val="ab"/>
      </w:pPr>
      <w:r>
        <w:t>发言人1 问：美联储六月份议息会议释放了哪些信号？</w:t>
      </w:r>
    </w:p>
    <w:p>
      <w:r>
        <w:rPr>
          <w:rFonts w:ascii="等线(中文正文)" w:hAnsi="等线(中文正文)" w:cs="等线(中文正文)" w:eastAsia="等线(中文正文)"/>
          <w:b w:val="false"/>
          <w:i w:val="false"/>
          <w:sz w:val="20"/>
        </w:rPr>
        <w:t>发言人1 答：美联储六月份会议决定维持联邦基金利率在3.5%至3.75%区间不变。新任主席沃什未出席点阵图预测，但预计2026年美联储大致加息一次，2027年降息一次。沃什表示未来声明将更简短并抛弃旧有词语，货币政策面临系统性检视，同时需要新的高频数据作为决策依据。</w:t>
      </w:r>
    </w:p>
    <w:p>
      <w:r>
        <w:rPr>
          <w:rFonts w:ascii="等线(中文正文)" w:hAnsi="等线(中文正文)" w:cs="等线(中文正文)" w:eastAsia="等线(中文正文)"/>
          <w:b w:val="false"/>
          <w:i w:val="false"/>
          <w:sz w:val="20"/>
        </w:rPr>
        <w:t/>
      </w:r>
    </w:p>
    <w:p>
      <w:pPr>
        <w:pStyle w:val="ab"/>
      </w:pPr>
      <w:r>
        <w:t>发言人1 问：美联储主席沃什对货币政策沟通方式和决策过程有何改变？</w:t>
      </w:r>
    </w:p>
    <w:p>
      <w:r>
        <w:rPr>
          <w:rFonts w:ascii="等线(中文正文)" w:hAnsi="等线(中文正文)" w:cs="等线(中文正文)" w:eastAsia="等线(中文正文)"/>
          <w:b w:val="false"/>
          <w:i w:val="false"/>
          <w:sz w:val="20"/>
        </w:rPr>
        <w:t>发言人1 答：沃什计划重塑美联储的货币政策沟通方式，减少声明篇幅并使用更简洁的语言。他已成立多个任务小组对通胀框架、货币政策沟通、资产负债表等问题进行评估，并强调需要使用前瞻性的数据和信息来决策，而非依赖过时的统计数据。</w:t>
      </w:r>
    </w:p>
    <w:p>
      <w:r>
        <w:rPr>
          <w:rFonts w:ascii="等线(中文正文)" w:hAnsi="等线(中文正文)" w:cs="等线(中文正文)" w:eastAsia="等线(中文正文)"/>
          <w:b w:val="false"/>
          <w:i w:val="false"/>
          <w:sz w:val="20"/>
        </w:rPr>
        <w:t/>
      </w:r>
    </w:p>
    <w:p>
      <w:pPr>
        <w:pStyle w:val="ab"/>
      </w:pPr>
      <w:r>
        <w:t>发言人1 问：行业指数涨幅前五的行业有哪些？现有行业中，煤炭、银行、食品饮料等行业的表现如何？</w:t>
      </w:r>
    </w:p>
    <w:p>
      <w:r>
        <w:rPr>
          <w:rFonts w:ascii="等线(中文正文)" w:hAnsi="等线(中文正文)" w:cs="等线(中文正文)" w:eastAsia="等线(中文正文)"/>
          <w:b w:val="false"/>
          <w:i w:val="false"/>
          <w:sz w:val="20"/>
        </w:rPr>
        <w:t>发言人1 答：涨幅前五的行业是电子、通信、建材、计算机和机械。煤炭、银行、食品饮料等行业目前是现有行业中的一部分，但未明确说明其具体表现。</w:t>
      </w:r>
    </w:p>
    <w:p>
      <w:r>
        <w:rPr>
          <w:rFonts w:ascii="等线(中文正文)" w:hAnsi="等线(中文正文)" w:cs="等线(中文正文)" w:eastAsia="等线(中文正文)"/>
          <w:b w:val="false"/>
          <w:i w:val="false"/>
          <w:sz w:val="20"/>
        </w:rPr>
        <w:t/>
      </w:r>
    </w:p>
    <w:p>
      <w:pPr>
        <w:pStyle w:val="ab"/>
      </w:pPr>
      <w:r>
        <w:t>发言人1 问：从资金流向角度看，哪些行业的主力资金净流入居前？</w:t>
      </w:r>
    </w:p>
    <w:p>
      <w:r>
        <w:rPr>
          <w:rFonts w:ascii="等线(中文正文)" w:hAnsi="等线(中文正文)" w:cs="等线(中文正文)" w:eastAsia="等线(中文正文)"/>
          <w:b w:val="false"/>
          <w:i w:val="false"/>
          <w:sz w:val="20"/>
        </w:rPr>
        <w:t>发言人1 答：主力资金净流入较多的行业有电子、通信、机械、银行和交运。</w:t>
      </w:r>
    </w:p>
    <w:p>
      <w:r>
        <w:rPr>
          <w:rFonts w:ascii="等线(中文正文)" w:hAnsi="等线(中文正文)" w:cs="等线(中文正文)" w:eastAsia="等线(中文正文)"/>
          <w:b w:val="false"/>
          <w:i w:val="false"/>
          <w:sz w:val="20"/>
        </w:rPr>
        <w:t/>
      </w:r>
    </w:p>
    <w:p>
      <w:pPr>
        <w:pStyle w:val="ab"/>
      </w:pPr>
      <w:r>
        <w:t>发言人1 问：本周偏股混合基金和股票ETF的表现如何？本周新成立的公募基金情况如何？</w:t>
      </w:r>
    </w:p>
    <w:p>
      <w:r>
        <w:rPr>
          <w:rFonts w:ascii="等线(中文正文)" w:hAnsi="等线(中文正文)" w:cs="等线(中文正文)" w:eastAsia="等线(中文正文)"/>
          <w:b w:val="false"/>
          <w:i w:val="false"/>
          <w:sz w:val="20"/>
        </w:rPr>
        <w:t>发言人1 答：本周偏股混合基金平均收益为5.89%，股票ETF平均收益为3.45%。本周新成立了112只公募基金，合计募集496亿元，其中混合型47支募集242亿元，股票型39只募集93亿元，债券型26支募集159亿。</w:t>
      </w:r>
    </w:p>
    <w:p>
      <w:r>
        <w:rPr>
          <w:rFonts w:ascii="等线(中文正文)" w:hAnsi="等线(中文正文)" w:cs="等线(中文正文)" w:eastAsia="等线(中文正文)"/>
          <w:b w:val="false"/>
          <w:i w:val="false"/>
          <w:sz w:val="20"/>
        </w:rPr>
        <w:t/>
      </w:r>
    </w:p>
    <w:p>
      <w:pPr>
        <w:pStyle w:val="ab"/>
      </w:pPr>
      <w:r>
        <w:t>发言人1 问：A股市场的短期、中期和长期模型是什么状态？对于后市和港股市场的看法是什么？</w:t>
      </w:r>
    </w:p>
    <w:p>
      <w:r>
        <w:rPr>
          <w:rFonts w:ascii="等线(中文正文)" w:hAnsi="等线(中文正文)" w:cs="等线(中文正文)" w:eastAsia="等线(中文正文)"/>
          <w:b w:val="false"/>
          <w:i w:val="false"/>
          <w:sz w:val="20"/>
        </w:rPr>
        <w:t>发言人1 答：A股市场的短期模型是多空交织状态，中期大部分模型转为看多，长期模型中性。认为后市将由震荡转为震荡偏多状态，港股指数继续看多恒生指数。</w:t>
      </w:r>
    </w:p>
    <w:p>
      <w:r>
        <w:rPr>
          <w:rFonts w:ascii="等线(中文正文)" w:hAnsi="等线(中文正文)" w:cs="等线(中文正文)" w:eastAsia="等线(中文正文)"/>
          <w:b w:val="false"/>
          <w:i w:val="false"/>
          <w:sz w:val="20"/>
        </w:rPr>
        <w:t/>
      </w:r>
    </w:p>
    <w:p>
      <w:pPr>
        <w:pStyle w:val="ab"/>
      </w:pPr>
      <w:r>
        <w:t>发言人1 问：陆家嘴论坛上关于政策层面有哪些重点内容？</w:t>
      </w:r>
    </w:p>
    <w:p>
      <w:r>
        <w:rPr>
          <w:rFonts w:ascii="等线(中文正文)" w:hAnsi="等线(中文正文)" w:cs="等线(中文正文)" w:eastAsia="等线(中文正文)"/>
          <w:b w:val="false"/>
          <w:i w:val="false"/>
          <w:sz w:val="20"/>
        </w:rPr>
        <w:t>发言人1 答：央行提出将丰富公开市场操作工具箱，增加隔夜逆回购操作品种，并试点境外央行回购工具及离岸人民币外汇交易。</w:t>
      </w:r>
    </w:p>
    <w:p>
      <w:r>
        <w:rPr>
          <w:rFonts w:ascii="等线(中文正文)" w:hAnsi="等线(中文正文)" w:cs="等线(中文正文)" w:eastAsia="等线(中文正文)"/>
          <w:b w:val="false"/>
          <w:i w:val="false"/>
          <w:sz w:val="20"/>
        </w:rPr>
        <w:t/>
      </w:r>
    </w:p>
    <w:p>
      <w:pPr>
        <w:pStyle w:val="ab"/>
      </w:pPr>
      <w:r>
        <w:t>发言人1 问：证监会吴主席在论坛上的发言有何亮点？</w:t>
      </w:r>
    </w:p>
    <w:p>
      <w:r>
        <w:rPr>
          <w:rFonts w:ascii="等线(中文正文)" w:hAnsi="等线(中文正文)" w:cs="等线(中文正文)" w:eastAsia="等线(中文正文)"/>
          <w:b w:val="false"/>
          <w:i w:val="false"/>
          <w:sz w:val="20"/>
        </w:rPr>
        <w:t>发言人1 答：吴主席提出要加大对科技板块尤其是科技金融的支持，并提到长期资金入市，如年金保险、社保等已显著增加对A股配置。</w:t>
      </w:r>
    </w:p>
    <w:p>
      <w:r>
        <w:rPr>
          <w:rFonts w:ascii="等线(中文正文)" w:hAnsi="等线(中文正文)" w:cs="等线(中文正文)" w:eastAsia="等线(中文正文)"/>
          <w:b w:val="false"/>
          <w:i w:val="false"/>
          <w:sz w:val="20"/>
        </w:rPr>
        <w:t/>
      </w:r>
    </w:p>
    <w:p>
      <w:pPr>
        <w:pStyle w:val="ab"/>
      </w:pPr>
      <w:r>
        <w:t>发言人1 问：目前科技股的资金面情况如何？</w:t>
      </w:r>
    </w:p>
    <w:p>
      <w:r>
        <w:rPr>
          <w:rFonts w:ascii="等线(中文正文)" w:hAnsi="等线(中文正文)" w:cs="等线(中文正文)" w:eastAsia="等线(中文正文)"/>
          <w:b w:val="false"/>
          <w:i w:val="false"/>
          <w:sz w:val="20"/>
        </w:rPr>
        <w:t>发言人1 答：目前科技股受到中长期资金正流入的明显支撑，包括保险、年金、社保在内的资金持续加大权益资产配置。</w:t>
      </w:r>
    </w:p>
    <w:p>
      <w:r>
        <w:rPr>
          <w:rFonts w:ascii="等线(中文正文)" w:hAnsi="等线(中文正文)" w:cs="等线(中文正文)" w:eastAsia="等线(中文正文)"/>
          <w:b w:val="false"/>
          <w:i w:val="false"/>
          <w:sz w:val="20"/>
        </w:rPr>
        <w:t/>
      </w:r>
    </w:p>
    <w:p>
      <w:pPr>
        <w:pStyle w:val="ab"/>
      </w:pPr>
      <w:r>
        <w:t>发言人1 问：科技股行情持续性及对其他板块的影响如何？</w:t>
      </w:r>
    </w:p>
    <w:p>
      <w:r>
        <w:rPr>
          <w:rFonts w:ascii="等线(中文正文)" w:hAnsi="等线(中文正文)" w:cs="等线(中文正文)" w:eastAsia="等线(中文正文)"/>
          <w:b w:val="false"/>
          <w:i w:val="false"/>
          <w:sz w:val="20"/>
        </w:rPr>
        <w:t>发言人1 答：科技股行情具有较强景气度和政策支持，持续性好，但也导致其他板块如金融板块在行情极致时受到流动性挤占。</w:t>
      </w:r>
    </w:p>
    <w:p>
      <w:r>
        <w:rPr>
          <w:rFonts w:ascii="等线(中文正文)" w:hAnsi="等线(中文正文)" w:cs="等线(中文正文)" w:eastAsia="等线(中文正文)"/>
          <w:b w:val="false"/>
          <w:i w:val="false"/>
          <w:sz w:val="20"/>
        </w:rPr>
        <w:t/>
      </w:r>
    </w:p>
    <w:p>
      <w:pPr>
        <w:pStyle w:val="ab"/>
      </w:pPr>
      <w:r>
        <w:t>发言人1 问：最近沪深三百等宽基指数成分股调整后的变化？</w:t>
      </w:r>
    </w:p>
    <w:p>
      <w:r>
        <w:rPr>
          <w:rFonts w:ascii="等线(中文正文)" w:hAnsi="等线(中文正文)" w:cs="等线(中文正文)" w:eastAsia="等线(中文正文)"/>
          <w:b w:val="false"/>
          <w:i w:val="false"/>
          <w:sz w:val="20"/>
        </w:rPr>
        <w:t>发言人1 答：中证指数公司发布的调整后，科技股在沪深三百等指数中的权重进一步提升，新增了一些科技龙头股，对科技股形成明显的被动资金流入。</w:t>
      </w:r>
    </w:p>
    <w:p>
      <w:r>
        <w:rPr>
          <w:rFonts w:ascii="等线(中文正文)" w:hAnsi="等线(中文正文)" w:cs="等线(中文正文)" w:eastAsia="等线(中文正文)"/>
          <w:b w:val="false"/>
          <w:i w:val="false"/>
          <w:sz w:val="20"/>
        </w:rPr>
        <w:t/>
      </w:r>
    </w:p>
    <w:p>
      <w:pPr>
        <w:pStyle w:val="ab"/>
      </w:pPr>
      <w:r>
        <w:t>发言人1 问：在金融表现方面，您认为长期是否存在均值回归过程，以及有哪些因素可能对其产生影响？</w:t>
      </w:r>
    </w:p>
    <w:p>
      <w:r>
        <w:rPr>
          <w:rFonts w:ascii="等线(中文正文)" w:hAnsi="等线(中文正文)" w:cs="等线(中文正文)" w:eastAsia="等线(中文正文)"/>
          <w:b w:val="false"/>
          <w:i w:val="false"/>
          <w:sz w:val="20"/>
        </w:rPr>
        <w:t>发言人1 答：我们相信存在一个长期均值回归的过程，其中资金层面的因素如ETF赎回和个股流通盘扰动会对金融表现形成互相干扰。但随着资金层面因素逐渐出清后，从中期看，金融资产会有基本面与估值相匹配的回归趋势。</w:t>
      </w:r>
    </w:p>
    <w:p>
      <w:r>
        <w:rPr>
          <w:rFonts w:ascii="等线(中文正文)" w:hAnsi="等线(中文正文)" w:cs="等线(中文正文)" w:eastAsia="等线(中文正文)"/>
          <w:b w:val="false"/>
          <w:i w:val="false"/>
          <w:sz w:val="20"/>
        </w:rPr>
        <w:t/>
      </w:r>
    </w:p>
    <w:p>
      <w:pPr>
        <w:pStyle w:val="ab"/>
      </w:pPr>
      <w:r>
        <w:t>发言人1 问：银行对于保险资金入市的重要性体现在哪里？</w:t>
      </w:r>
    </w:p>
    <w:p>
      <w:r>
        <w:rPr>
          <w:rFonts w:ascii="等线(中文正文)" w:hAnsi="等线(中文正文)" w:cs="等线(中文正文)" w:eastAsia="等线(中文正文)"/>
          <w:b w:val="false"/>
          <w:i w:val="false"/>
          <w:sz w:val="20"/>
        </w:rPr>
        <w:t>发言人1 答：银行对于保险资金入市至关重要，因其股价波动中经营相对稳健，能提供不错的股息率，因此受到保险和证券行业的基本面支撑。</w:t>
      </w:r>
    </w:p>
    <w:p>
      <w:r>
        <w:rPr>
          <w:rFonts w:ascii="等线(中文正文)" w:hAnsi="等线(中文正文)" w:cs="等线(中文正文)" w:eastAsia="等线(中文正文)"/>
          <w:b w:val="false"/>
          <w:i w:val="false"/>
          <w:sz w:val="20"/>
        </w:rPr>
        <w:t/>
      </w:r>
    </w:p>
    <w:p>
      <w:pPr>
        <w:pStyle w:val="ab"/>
      </w:pPr>
      <w:r>
        <w:t>发言人1 问：对于保险公司和证券公司在中报期间的业绩预期是怎样的？</w:t>
      </w:r>
    </w:p>
    <w:p>
      <w:r>
        <w:rPr>
          <w:rFonts w:ascii="等线(中文正文)" w:hAnsi="等线(中文正文)" w:cs="等线(中文正文)" w:eastAsia="等线(中文正文)"/>
          <w:b w:val="false"/>
          <w:i w:val="false"/>
          <w:sz w:val="20"/>
        </w:rPr>
        <w:t>发言人1 答：预估这类公司在中报口径下业绩将向好，在资本市场壮大的过程中，以保险为代表的中长期资金将明确受益，而券商等资本中介也会持续受益于科技金融的发展。</w:t>
      </w:r>
    </w:p>
    <w:p>
      <w:r>
        <w:rPr>
          <w:rFonts w:ascii="等线(中文正文)" w:hAnsi="等线(中文正文)" w:cs="等线(中文正文)" w:eastAsia="等线(中文正文)"/>
          <w:b w:val="false"/>
          <w:i w:val="false"/>
          <w:sz w:val="20"/>
        </w:rPr>
        <w:t/>
      </w:r>
    </w:p>
    <w:p>
      <w:pPr>
        <w:pStyle w:val="ab"/>
      </w:pPr>
      <w:r>
        <w:t>发言人1 问：您对当前原油市场的主要观点是什么？</w:t>
      </w:r>
    </w:p>
    <w:p>
      <w:r>
        <w:rPr>
          <w:rFonts w:ascii="等线(中文正文)" w:hAnsi="等线(中文正文)" w:cs="等线(中文正文)" w:eastAsia="等线(中文正文)"/>
          <w:b w:val="false"/>
          <w:i w:val="false"/>
          <w:sz w:val="20"/>
        </w:rPr>
        <w:t>发言人1 答：短期内，若美伊冲突持续，可能给原油价格带来上行压力；但从中长期看，由于总体需求端驱动力较弱且供给端压力较大，我们对原油持偏空观点。</w:t>
      </w:r>
    </w:p>
    <w:p>
      <w:r>
        <w:rPr>
          <w:rFonts w:ascii="等线(中文正文)" w:hAnsi="等线(中文正文)" w:cs="等线(中文正文)" w:eastAsia="等线(中文正文)"/>
          <w:b w:val="false"/>
          <w:i w:val="false"/>
          <w:sz w:val="20"/>
        </w:rPr>
        <w:t/>
      </w:r>
    </w:p>
    <w:p>
      <w:pPr>
        <w:pStyle w:val="ab"/>
      </w:pPr>
      <w:r>
        <w:t>发言人1 问：美伊谈判进展对原油市场有何影响？</w:t>
      </w:r>
    </w:p>
    <w:p>
      <w:r>
        <w:rPr>
          <w:rFonts w:ascii="等线(中文正文)" w:hAnsi="等线(中文正文)" w:cs="等线(中文正文)" w:eastAsia="等线(中文正文)"/>
          <w:b w:val="false"/>
          <w:i w:val="false"/>
          <w:sz w:val="20"/>
        </w:rPr>
        <w:t>发言人1 答：最近美伊谈判出现明显进展，这验证了之前的观点，即后期原油的主要矛盾在于观察需求端的恢复情况，而非仅仅关注补库情况。</w:t>
      </w:r>
    </w:p>
    <w:p>
      <w:r>
        <w:rPr>
          <w:rFonts w:ascii="等线(中文正文)" w:hAnsi="等线(中文正文)" w:cs="等线(中文正文)" w:eastAsia="等线(中文正文)"/>
          <w:b w:val="false"/>
          <w:i w:val="false"/>
          <w:sz w:val="20"/>
        </w:rPr>
        <w:t/>
      </w:r>
    </w:p>
    <w:p>
      <w:pPr>
        <w:pStyle w:val="ab"/>
      </w:pPr>
      <w:r>
        <w:t>发言人1 问：最新的国际机构关于原油报告有哪些关键数据？</w:t>
      </w:r>
    </w:p>
    <w:p>
      <w:r>
        <w:rPr>
          <w:rFonts w:ascii="等线(中文正文)" w:hAnsi="等线(中文正文)" w:cs="等线(中文正文)" w:eastAsia="等线(中文正文)"/>
          <w:b w:val="false"/>
          <w:i w:val="false"/>
          <w:sz w:val="20"/>
        </w:rPr>
        <w:t>发言人1 答：报告指出，中东国家因冲突导致出口下降约1300万桶每天，而非中东国家增产约100万桶每天，全球原油需求非中东地区下降约400万桶每天，导致整体库存减少约500万桶每天。</w:t>
      </w:r>
    </w:p>
    <w:p>
      <w:r>
        <w:rPr>
          <w:rFonts w:ascii="等线(中文正文)" w:hAnsi="等线(中文正文)" w:cs="等线(中文正文)" w:eastAsia="等线(中文正文)"/>
          <w:b w:val="false"/>
          <w:i w:val="false"/>
          <w:sz w:val="20"/>
        </w:rPr>
        <w:t/>
      </w:r>
    </w:p>
    <w:p>
      <w:pPr>
        <w:pStyle w:val="ab"/>
      </w:pPr>
      <w:r>
        <w:t>发言人1 问：库存消耗情况如何，对未来油价走势有何判断？</w:t>
      </w:r>
    </w:p>
    <w:p>
      <w:r>
        <w:rPr>
          <w:rFonts w:ascii="等线(中文正文)" w:hAnsi="等线(中文正文)" w:cs="等线(中文正文)" w:eastAsia="等线(中文正文)"/>
          <w:b w:val="false"/>
          <w:i w:val="false"/>
          <w:sz w:val="20"/>
        </w:rPr>
        <w:t>发言人1 答：美国和日本库存消耗较大，而中国库存消耗相对较少，欧洲库存增加。补库需求对价格不会带来明显支撑，相反，需要关注原油需求能否有效恢复以支撑价格。尤其是中国需求端的恢复情况最为关键。</w:t>
      </w:r>
    </w:p>
    <w:p>
      <w:r>
        <w:rPr>
          <w:rFonts w:ascii="等线(中文正文)" w:hAnsi="等线(中文正文)" w:cs="等线(中文正文)" w:eastAsia="等线(中文正文)"/>
          <w:b w:val="false"/>
          <w:i w:val="false"/>
          <w:sz w:val="20"/>
        </w:rPr>
        <w:t/>
      </w:r>
    </w:p>
    <w:p>
      <w:pPr>
        <w:pStyle w:val="ab"/>
      </w:pPr>
      <w:r>
        <w:t>发言人1 问：对供给、需求和库存的未来假设是什么？</w:t>
      </w:r>
    </w:p>
    <w:p>
      <w:r>
        <w:rPr>
          <w:rFonts w:ascii="等线(中文正文)" w:hAnsi="等线(中文正文)" w:cs="等线(中文正文)" w:eastAsia="等线(中文正文)"/>
          <w:b w:val="false"/>
          <w:i w:val="false"/>
          <w:sz w:val="20"/>
        </w:rPr>
        <w:t>发言人1 答：预计供给会恢复到1300万桶每天，但存在阿联酋退出欧佩克带来的潜在风险。需求端恢复存在分化，美国需求量未受明显影响，而中国和日本受影响较大。即使所有需求恢复，正常累库量可能回到300-400万桶每天。</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2026-06-21T14:19:28Z</dcterms:created>
  <dc:creator>Apache POI</dc:creator>
</cp:coreProperties>
</file>