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方正证券  TMT周周谈：AI生态系列汇报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AI 存储 光学 计算机 质谱 国产模型 芯片 传媒 出版 游戏 分红 高分红 业绩 估值切换 确定性 细分方向 科技板块 业绩期 芯片供电 AI训练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方正证券举行了一场关于AI生态系列的电话会议，主题为“TMT周周谈”。会议强调了参会者应保持静音，并提醒内容仅供专业投资机构客户或受邀客户参考，不构成投资建议，禁止交流敏感内幕信息及复制、转发会议录音等材料。会议详细介绍了AI领域的多个细分方向，如存储、光学、质谱模型和芯片供电技术等，强调了这些领域在AI驱动下的增长潜力和长期趋势。特别提到了存储和光学板块的市场行情、业绩增长和估值切换的可能性，以及国产模型在计算机领域的进步和投资机会。讨论了传媒和通信板块的市场趋势，以及AI技术对这些行业的影响。会议还提到了AI训练和推理需求增加带来的芯片供电挑战，介绍了垂直供电技术和跨电感电压调节器（TLVR）等新技术，强调了这些技术在解决AI算力芯片供电问题上的重要性。最后，方正证券强调了对AI生态领域的长期看好，并提供了相关专业投资工具和服务的信息。</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方正证券AI生态系列汇报：聚焦存储、光学与质谱投资机会</w:t>
      </w:r>
    </w:p>
    <w:p>
      <w:r>
        <w:rPr>
          <w:rFonts w:ascii="等线(中文正文)" w:hAnsi="等线(中文正文)" w:cs="等线(中文正文)" w:eastAsia="等线(中文正文)"/>
          <w:b w:val="false"/>
          <w:i w:val="false"/>
          <w:sz w:val="20"/>
        </w:rPr>
        <w:t>方正证券TMT团队在年终节点强调AI领域的长期确定性趋势，推荐存储、光学及质谱等细分方向。电子板块分析师更新存储和光学观点，计算机团队聚焦国产质谱模型优势，传媒互联网首席分析三季度趋势，通信专家展望芯片供电产业机会，共同探讨AI生态下的投资策略。</w:t>
      </w:r>
    </w:p>
    <w:p>
      <w:r>
        <w:rPr>
          <w:rFonts w:ascii="等线(中文正文)" w:hAnsi="等线(中文正文)" w:cs="等线(中文正文)" w:eastAsia="等线(中文正文)"/>
          <w:b w:val="false"/>
          <w:i w:val="false"/>
          <w:sz w:val="20"/>
        </w:rPr>
        <w:t/>
      </w:r>
    </w:p>
    <w:p>
      <w:pPr>
        <w:pStyle w:val="ab"/>
        <w:numPr>
          <w:numId w:val="2"/>
        </w:numPr>
      </w:pPr>
      <w:r>
        <w:t>02:22 存储与光学板块最新观点更新</w:t>
      </w:r>
    </w:p>
    <w:p>
      <w:r>
        <w:rPr>
          <w:rFonts w:ascii="等线(中文正文)" w:hAnsi="等线(中文正文)" w:cs="等线(中文正文)" w:eastAsia="等线(中文正文)"/>
          <w:b w:val="false"/>
          <w:i w:val="false"/>
          <w:sz w:val="20"/>
        </w:rPr>
        <w:t>对话围绕存储与光学板块的市场动态展开，指出存储行业因AI需求增长而迎来估值切换，重点关注利基存储与模组板块；光学领域受益于政策支持，光模块与无源器件需求增加，建议关注具备量产能力的优秀公司。</w:t>
      </w:r>
    </w:p>
    <w:p>
      <w:r>
        <w:rPr>
          <w:rFonts w:ascii="等线(中文正文)" w:hAnsi="等线(中文正文)" w:cs="等线(中文正文)" w:eastAsia="等线(中文正文)"/>
          <w:b w:val="false"/>
          <w:i w:val="false"/>
          <w:sz w:val="20"/>
        </w:rPr>
        <w:t/>
      </w:r>
    </w:p>
    <w:p>
      <w:pPr>
        <w:pStyle w:val="ab"/>
        <w:numPr>
          <w:numId w:val="3"/>
        </w:numPr>
      </w:pPr>
      <w:r>
        <w:t>05:33 国产模型与芯片正向循环加速崛起</w:t>
      </w:r>
    </w:p>
    <w:p>
      <w:r>
        <w:rPr>
          <w:rFonts w:ascii="等线(中文正文)" w:hAnsi="等线(中文正文)" w:cs="等线(中文正文)" w:eastAsia="等线(中文正文)"/>
          <w:b w:val="false"/>
          <w:i w:val="false"/>
          <w:sz w:val="20"/>
        </w:rPr>
        <w:t>本周国产质谱模型GM02在编程领域表现优异，排名全球前三，验证了国产模型年度进步显著。国产芯片与模型适配形成正向循环，加速芯片发展。投资方向聚焦国产模型与芯片，多家公司储备丰富，底部公司机会值得关注。</w:t>
      </w:r>
    </w:p>
    <w:p>
      <w:r>
        <w:rPr>
          <w:rFonts w:ascii="等线(中文正文)" w:hAnsi="等线(中文正文)" w:cs="等线(中文正文)" w:eastAsia="等线(中文正文)"/>
          <w:b w:val="false"/>
          <w:i w:val="false"/>
          <w:sz w:val="20"/>
        </w:rPr>
        <w:t/>
      </w:r>
    </w:p>
    <w:p>
      <w:pPr>
        <w:pStyle w:val="ab"/>
        <w:numPr>
          <w:numId w:val="4"/>
        </w:numPr>
      </w:pPr>
      <w:r>
        <w:t>08:29 传媒板块结构性下跌与出版游戏业绩稳健分析</w:t>
      </w:r>
    </w:p>
    <w:p>
      <w:r>
        <w:rPr>
          <w:rFonts w:ascii="等线(中文正文)" w:hAnsi="等线(中文正文)" w:cs="等线(中文正文)" w:eastAsia="等线(中文正文)"/>
          <w:b w:val="false"/>
          <w:i w:val="false"/>
          <w:sz w:val="20"/>
        </w:rPr>
        <w:t>传媒板块近期结构性下跌，市场关注业绩突出的游戏和出版板块。游戏板块整体稳健，出版板块虽有担忧但业绩呈现稳健，出版龙头公司分化明显。三季报传媒板块建议关注高分红标的，出版与个别游戏个股可能受益风格切换。</w:t>
      </w:r>
    </w:p>
    <w:p>
      <w:r>
        <w:rPr>
          <w:rFonts w:ascii="等线(中文正文)" w:hAnsi="等线(中文正文)" w:cs="等线(中文正文)" w:eastAsia="等线(中文正文)"/>
          <w:b w:val="false"/>
          <w:i w:val="false"/>
          <w:sz w:val="20"/>
        </w:rPr>
        <w:t/>
      </w:r>
    </w:p>
    <w:p>
      <w:pPr>
        <w:pStyle w:val="ab"/>
        <w:numPr>
          <w:numId w:val="5"/>
        </w:numPr>
      </w:pPr>
      <w:r>
        <w:t>12:11 分众传媒走势与白酒消费关联分析</w:t>
      </w:r>
    </w:p>
    <w:p>
      <w:r>
        <w:rPr>
          <w:rFonts w:ascii="等线(中文正文)" w:hAnsi="等线(中文正文)" w:cs="等线(中文正文)" w:eastAsia="等线(中文正文)"/>
          <w:b w:val="false"/>
          <w:i w:val="false"/>
          <w:sz w:val="20"/>
        </w:rPr>
        <w:t>对话讨论了分众传媒的市场走势与白酒及消费行业紧密相关，指出基金经理过去几年基于消费和白酒逻辑投资分众，因此白酒和消费行业的判断对分众走势有显著影响。</w:t>
      </w:r>
    </w:p>
    <w:p>
      <w:r>
        <w:rPr>
          <w:rFonts w:ascii="等线(中文正文)" w:hAnsi="等线(中文正文)" w:cs="等线(中文正文)" w:eastAsia="等线(中文正文)"/>
          <w:b w:val="false"/>
          <w:i w:val="false"/>
          <w:sz w:val="20"/>
        </w:rPr>
        <w:t/>
      </w:r>
    </w:p>
    <w:p>
      <w:pPr>
        <w:pStyle w:val="ab"/>
        <w:numPr>
          <w:numId w:val="6"/>
        </w:numPr>
      </w:pPr>
      <w:r>
        <w:t>12:34 VPD与GLVR技术：解决AI芯片供电挑战的新路径</w:t>
      </w:r>
    </w:p>
    <w:p>
      <w:r>
        <w:rPr>
          <w:rFonts w:ascii="等线(中文正文)" w:hAnsi="等线(中文正文)" w:cs="等线(中文正文)" w:eastAsia="等线(中文正文)"/>
          <w:b w:val="false"/>
          <w:i w:val="false"/>
          <w:sz w:val="20"/>
        </w:rPr>
        <w:t>讨论了AI训练和推理需求增长下，芯片功耗增加带来的供电挑战。传统横向供电方案在高功耗下存在损耗问题，新型垂直供电方案（VPD）和跨电感电压调节器（GLVR）技术成为解决GPU供电的关键路径。这些技术通过减少电力传输距离、降低电阻损耗、提高响应速度和信号完整性，优化了供电效率。同时，产业链相关公司和风险因素也被提及。</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在方正证券TMT周周谈AI生态系列汇报中，强调了AI作为科技板块长期趋势的重要性，尽管强调内容仅为个人观点，不构成投资建议，但AI生态的投资机会仍是市场焦点。他特别指出，存储和光学等细分领域因AI应用增加，预计市场需求将持续扩大。此外，他提到了国产AI模型，尤其是质谱模型在全球排名中的优异表现，预示着国产AI技术在全球市场的潜力。他还讨论了芯片供电技术的进展，强调新型VPD和TLVR技术对满足高性能计算需求的重要性。最后，他表达了方正证券团队对AI、存储、光学、计算机以及传媒互联网等领域持续关注和专业分析，旨在为投资者提供有价值的市场洞察和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问：在AI领域，您们如何看待其发展趋势和投资价值？</w:t>
      </w:r>
    </w:p>
    <w:p>
      <w:r>
        <w:rPr>
          <w:rFonts w:ascii="等线(中文正文)" w:hAnsi="等线(中文正文)" w:cs="等线(中文正文)" w:eastAsia="等线(中文正文)"/>
          <w:b w:val="false"/>
          <w:i w:val="false"/>
          <w:sz w:val="20"/>
        </w:rPr>
        <w:t>发言人1 答：我们坚信AI是下半年到未来长期确定性的趋势，因此我们持续看好。从细分领域来看，包括玻璃基板、存储、光学以及软件生态等方向都可能有不错的表现。</w:t>
      </w:r>
    </w:p>
    <w:p>
      <w:r>
        <w:rPr>
          <w:rFonts w:ascii="等线(中文正文)" w:hAnsi="等线(中文正文)" w:cs="等线(中文正文)" w:eastAsia="等线(中文正文)"/>
          <w:b w:val="false"/>
          <w:i w:val="false"/>
          <w:sz w:val="20"/>
        </w:rPr>
        <w:t/>
      </w:r>
    </w:p>
    <w:p>
      <w:pPr>
        <w:pStyle w:val="ab"/>
      </w:pPr>
      <w:r>
        <w:t>发言人1 问：本次会议中，我们将讨论哪些具体方向和标的？</w:t>
      </w:r>
    </w:p>
    <w:p>
      <w:r>
        <w:rPr>
          <w:rFonts w:ascii="等线(中文正文)" w:hAnsi="等线(中文正文)" w:cs="等线(中文正文)" w:eastAsia="等线(中文正文)"/>
          <w:b w:val="false"/>
          <w:i w:val="false"/>
          <w:sz w:val="20"/>
        </w:rPr>
        <w:t>发言人1 答：本次会议将围绕近期市场反响热烈、关注度高的几个方向展开，具体包括存储和光学领域的最新动态及重点推荐标的，计算机板块中质谱模型的进展和投资机会，传媒互联网领域的三季度趋势以及通信板块中芯片供应链产业的前景展望。</w:t>
      </w:r>
    </w:p>
    <w:p>
      <w:r>
        <w:rPr>
          <w:rFonts w:ascii="等线(中文正文)" w:hAnsi="等线(中文正文)" w:cs="等线(中文正文)" w:eastAsia="等线(中文正文)"/>
          <w:b w:val="false"/>
          <w:i w:val="false"/>
          <w:sz w:val="20"/>
        </w:rPr>
        <w:t/>
      </w:r>
    </w:p>
    <w:p>
      <w:pPr>
        <w:pStyle w:val="ab"/>
      </w:pPr>
      <w:r>
        <w:t>发言人1 问：存储板块的情况如何？未来展望是什么？</w:t>
      </w:r>
    </w:p>
    <w:p>
      <w:r>
        <w:rPr>
          <w:rFonts w:ascii="等线(中文正文)" w:hAnsi="等线(中文正文)" w:cs="等线(中文正文)" w:eastAsia="等线(中文正文)"/>
          <w:b w:val="false"/>
          <w:i w:val="false"/>
          <w:sz w:val="20"/>
        </w:rPr>
        <w:t>发言人1 答：存储板块方面，Q3企业级DDR和SST价格继续上涨，环比增长超过20%，同时大型云厂商如亚马逊、微软、谷歌以及国内头部厂商已签订HBM和大型企业SSD的长期采购协议。摩根士丹利预计全球全年存储市场规模将达到8000多亿美元，同比增长约250%，并且整体短缺周期可能会延长至2028年。因此，我们看好存储板块，尤其是利基存储和存储模组板块，因其业绩持续向好且估值有望切换至成长逻辑。</w:t>
      </w:r>
    </w:p>
    <w:p>
      <w:r>
        <w:rPr>
          <w:rFonts w:ascii="等线(中文正文)" w:hAnsi="等线(中文正文)" w:cs="等线(中文正文)" w:eastAsia="等线(中文正文)"/>
          <w:b w:val="false"/>
          <w:i w:val="false"/>
          <w:sz w:val="20"/>
        </w:rPr>
        <w:t/>
      </w:r>
    </w:p>
    <w:p>
      <w:pPr>
        <w:pStyle w:val="ab"/>
      </w:pPr>
      <w:r>
        <w:t>发言人1 问：光学板块有哪些最新进展和投资建议？</w:t>
      </w:r>
    </w:p>
    <w:p>
      <w:r>
        <w:rPr>
          <w:rFonts w:ascii="等线(中文正文)" w:hAnsi="等线(中文正文)" w:cs="等线(中文正文)" w:eastAsia="等线(中文正文)"/>
          <w:b w:val="false"/>
          <w:i w:val="false"/>
          <w:sz w:val="20"/>
        </w:rPr>
        <w:t>发言人1 答：光学板块经过前期调整后，随着国家政策支持和技术进步，如CPU共封装光学、高速光互联及高端光芯片等领域被列为AI算力网络的核心底座，将带来行业需求红利。建议重点关注光模块和CPoS等方案对无源器件需求增加带来的机会，尤其是具有光学元件量产能力的优秀公司，如中润光学、聚光科技、腾景科技、水晶光电、蓝特光学等。</w:t>
      </w:r>
    </w:p>
    <w:p>
      <w:r>
        <w:rPr>
          <w:rFonts w:ascii="等线(中文正文)" w:hAnsi="等线(中文正文)" w:cs="等线(中文正文)" w:eastAsia="等线(中文正文)"/>
          <w:b w:val="false"/>
          <w:i w:val="false"/>
          <w:sz w:val="20"/>
        </w:rPr>
        <w:t/>
      </w:r>
    </w:p>
    <w:p>
      <w:pPr>
        <w:pStyle w:val="ab"/>
      </w:pPr>
      <w:r>
        <w:t>发言人1 问：计算机领域当前有哪些值得关注的变化和趋势？</w:t>
      </w:r>
    </w:p>
    <w:p>
      <w:r>
        <w:rPr>
          <w:rFonts w:ascii="等线(中文正文)" w:hAnsi="等线(中文正文)" w:cs="等线(中文正文)" w:eastAsia="等线(中文正文)"/>
          <w:b w:val="false"/>
          <w:i w:val="false"/>
          <w:sz w:val="20"/>
        </w:rPr>
        <w:t>发言人1 答：在计算机领域，本周科技板块表现出显著的反弹，这主要得益于宏观因素的积极影响以及国产质谱模型（例如GM02）在全球范围内取得的优异成绩，其在编程领域的表现甚至达到了全球前三水平，这验证了国产模型在进步方面的明显性，包括在视频处理等领域也展现出领先优势。</w:t>
      </w:r>
    </w:p>
    <w:p>
      <w:r>
        <w:rPr>
          <w:rFonts w:ascii="等线(中文正文)" w:hAnsi="等线(中文正文)" w:cs="等线(中文正文)" w:eastAsia="等线(中文正文)"/>
          <w:b w:val="false"/>
          <w:i w:val="false"/>
          <w:sz w:val="20"/>
        </w:rPr>
        <w:t/>
      </w:r>
    </w:p>
    <w:p>
      <w:pPr>
        <w:pStyle w:val="ab"/>
      </w:pPr>
      <w:r>
        <w:t>发言人1 问：国产模型是否在挑战美国先进的地位，并且在算力方面有哪些动态？</w:t>
      </w:r>
    </w:p>
    <w:p>
      <w:r>
        <w:rPr>
          <w:rFonts w:ascii="等线(中文正文)" w:hAnsi="等线(中文正文)" w:cs="等线(中文正文)" w:eastAsia="等线(中文正文)"/>
          <w:b w:val="false"/>
          <w:i w:val="false"/>
          <w:sz w:val="20"/>
        </w:rPr>
        <w:t>发言人1 答：我们预测国产模型将逐步挑战美国在算力领域的领先地位，这是不可阻挡的趋势。不同厂商将从不同角度切入市场，在细分领域追平、接近甚至超越。同时，海外半导体及硬件板块出现较好反弹，而国内方面，AI芯片采购计划中已有5万万科的国产芯片获得扶持，新的国产商业公司在客户方面取得突破，进入大厂供应链。</w:t>
      </w:r>
    </w:p>
    <w:p>
      <w:r>
        <w:rPr>
          <w:rFonts w:ascii="等线(中文正文)" w:hAnsi="等线(中文正文)" w:cs="等线(中文正文)" w:eastAsia="等线(中文正文)"/>
          <w:b w:val="false"/>
          <w:i w:val="false"/>
          <w:sz w:val="20"/>
        </w:rPr>
        <w:t/>
      </w:r>
    </w:p>
    <w:p>
      <w:pPr>
        <w:pStyle w:val="ab"/>
      </w:pPr>
      <w:r>
        <w:t>发言人1 问：目前国产模型和芯片的适配情况如何？</w:t>
      </w:r>
    </w:p>
    <w:p>
      <w:r>
        <w:rPr>
          <w:rFonts w:ascii="等线(中文正文)" w:hAnsi="等线(中文正文)" w:cs="等线(中文正文)" w:eastAsia="等线(中文正文)"/>
          <w:b w:val="false"/>
          <w:i w:val="false"/>
          <w:sz w:val="20"/>
        </w:rPr>
        <w:t>发言人1 答：国产模型有大幅突破，并且四月份以来，国产模型与国产芯片的适配和支持形成了正向循环。国产模型的进展推动了国内芯片的发展，同时在富坤珠海等地区也出现了良好的反馈效果。</w:t>
      </w:r>
    </w:p>
    <w:p>
      <w:r>
        <w:rPr>
          <w:rFonts w:ascii="等线(中文正文)" w:hAnsi="等线(中文正文)" w:cs="等线(中文正文)" w:eastAsia="等线(中文正文)"/>
          <w:b w:val="false"/>
          <w:i w:val="false"/>
          <w:sz w:val="20"/>
        </w:rPr>
        <w:t/>
      </w:r>
    </w:p>
    <w:p>
      <w:pPr>
        <w:pStyle w:val="ab"/>
      </w:pPr>
      <w:r>
        <w:t>发言人1 问：投资方向上有哪些推荐？</w:t>
      </w:r>
    </w:p>
    <w:p>
      <w:r>
        <w:rPr>
          <w:rFonts w:ascii="等线(中文正文)" w:hAnsi="等线(中文正文)" w:cs="等线(中文正文)" w:eastAsia="等线(中文正文)"/>
          <w:b w:val="false"/>
          <w:i w:val="false"/>
          <w:sz w:val="20"/>
        </w:rPr>
        <w:t>发言人1 答：首先，投资者应关注当前边际变化最大的国产模型领域，如阿里、百度、腾讯等大厂都有储备，预计近期或下半年会有重大事件发生。其次，国产芯片领域也值得关注，寒武纪、摩尔、天硕之星等公司有优秀的产品和商业化进展，以及华丰科技、战略股份等相关公司。</w:t>
      </w:r>
    </w:p>
    <w:p>
      <w:r>
        <w:rPr>
          <w:rFonts w:ascii="等线(中文正文)" w:hAnsi="等线(中文正文)" w:cs="等线(中文正文)" w:eastAsia="等线(中文正文)"/>
          <w:b w:val="false"/>
          <w:i w:val="false"/>
          <w:sz w:val="20"/>
        </w:rPr>
        <w:t/>
      </w:r>
    </w:p>
    <w:p>
      <w:pPr>
        <w:pStyle w:val="ab"/>
      </w:pPr>
      <w:r>
        <w:t>发言人1 问：传媒行业下跌的原因及板块表现如何？</w:t>
      </w:r>
    </w:p>
    <w:p>
      <w:r>
        <w:rPr>
          <w:rFonts w:ascii="等线(中文正文)" w:hAnsi="等线(中文正文)" w:cs="等线(中文正文)" w:eastAsia="等线(中文正文)"/>
          <w:b w:val="false"/>
          <w:i w:val="false"/>
          <w:sz w:val="20"/>
        </w:rPr>
        <w:t>发言人1 答：传媒行业下跌主要是结构性问题，市场对未来业绩的关注度提高。其中，游戏和出版板块业绩相对扎实，游戏板块因去年为大年，今年整体持续稳健；而出版板块虽面临监管趋严、所得税等问题，但龙头公司仍保持稳健经营。尽管出版业受到AI趋势影响，担忧其长期发展，但目前尚未反映在业绩上，中报和三季报表现稳健。</w:t>
      </w:r>
    </w:p>
    <w:p>
      <w:r>
        <w:rPr>
          <w:rFonts w:ascii="等线(中文正文)" w:hAnsi="等线(中文正文)" w:cs="等线(中文正文)" w:eastAsia="等线(中文正文)"/>
          <w:b w:val="false"/>
          <w:i w:val="false"/>
          <w:sz w:val="20"/>
        </w:rPr>
        <w:t/>
      </w:r>
    </w:p>
    <w:p>
      <w:pPr>
        <w:pStyle w:val="ab"/>
      </w:pPr>
      <w:r>
        <w:t>发言人1 问：在选股方面有何建议？</w:t>
      </w:r>
    </w:p>
    <w:p>
      <w:r>
        <w:rPr>
          <w:rFonts w:ascii="等线(中文正文)" w:hAnsi="等线(中文正文)" w:cs="等线(中文正文)" w:eastAsia="等线(中文正文)"/>
          <w:b w:val="false"/>
          <w:i w:val="false"/>
          <w:sz w:val="20"/>
        </w:rPr>
        <w:t>发言人1 答：对于出版板块，可关注新华文轩、凤凰传媒、中文传媒、南方传媒、龙信发展和城市传媒等六家标的；影视板块则有上海电影和吉比特等；游戏方面，华通等标的值得关注，此外分众传媒尽管与白酒和消费走势相似，但其走势更受消费和白酒市场影响，持仓基金经理对消费和白酒的判断也将影响分众传媒的表现。</w:t>
      </w:r>
    </w:p>
    <w:p>
      <w:r>
        <w:rPr>
          <w:rFonts w:ascii="等线(中文正文)" w:hAnsi="等线(中文正文)" w:cs="等线(中文正文)" w:eastAsia="等线(中文正文)"/>
          <w:b w:val="false"/>
          <w:i w:val="false"/>
          <w:sz w:val="20"/>
        </w:rPr>
        <w:t/>
      </w:r>
    </w:p>
    <w:p>
      <w:pPr>
        <w:pStyle w:val="ab"/>
      </w:pPr>
      <w:r>
        <w:t>发言人1 问：在AI训练和推理需求增加的背景下，芯片供电面临的主要挑战是什么？</w:t>
      </w:r>
    </w:p>
    <w:p>
      <w:r>
        <w:rPr>
          <w:rFonts w:ascii="等线(中文正文)" w:hAnsi="等线(中文正文)" w:cs="等线(中文正文)" w:eastAsia="等线(中文正文)"/>
          <w:b w:val="false"/>
          <w:i w:val="false"/>
          <w:sz w:val="20"/>
        </w:rPr>
        <w:t>发言人1 答：随着AI训练和推理需求的增长，单芯片功耗也在不断突破，例如英伟达第300系列芯片单卡功耗已达到1400瓦以上。未来谷歌GPU和英伟达GPU功耗还将继续增加，这使得芯片供电问题提出了更高的要求。传统的横向LPD供电方案在高功耗下会面临瞬间电感效应引发的功耗损耗问题。</w:t>
      </w:r>
    </w:p>
    <w:p>
      <w:r>
        <w:rPr>
          <w:rFonts w:ascii="等线(中文正文)" w:hAnsi="等线(中文正文)" w:cs="等线(中文正文)" w:eastAsia="等线(中文正文)"/>
          <w:b w:val="false"/>
          <w:i w:val="false"/>
          <w:sz w:val="20"/>
        </w:rPr>
        <w:t/>
      </w:r>
    </w:p>
    <w:p>
      <w:pPr>
        <w:pStyle w:val="ab"/>
      </w:pPr>
      <w:r>
        <w:t>发言人1 问：传统的横向供电方案存在哪些问题，以及最新的解决方案是什么？</w:t>
      </w:r>
    </w:p>
    <w:p>
      <w:r>
        <w:rPr>
          <w:rFonts w:ascii="等线(中文正文)" w:hAnsi="等线(中文正文)" w:cs="等线(中文正文)" w:eastAsia="等线(中文正文)"/>
          <w:b w:val="false"/>
          <w:i w:val="false"/>
          <w:sz w:val="20"/>
        </w:rPr>
        <w:t>发言人1 答：传统的横向供电方案在芯片功耗超过1400瓦时，由于瞬间电感效应导致较大的功耗损耗。最新的解决方案采用了垂直供电思路，通过将PCD垂直向上输电直接给上方处理器供电，减少了从VRM到SOC的电力传输距离，从而降低了电阻损耗和I²R损耗，并提高了瞬间响应能力和信号完整性，同时具备更好的扩展性。</w:t>
      </w:r>
    </w:p>
    <w:p>
      <w:r>
        <w:rPr>
          <w:rFonts w:ascii="等线(中文正文)" w:hAnsi="等线(中文正文)" w:cs="等线(中文正文)" w:eastAsia="等线(中文正文)"/>
          <w:b w:val="false"/>
          <w:i w:val="false"/>
          <w:sz w:val="20"/>
        </w:rPr>
        <w:t/>
      </w:r>
    </w:p>
    <w:p>
      <w:pPr>
        <w:pStyle w:val="ab"/>
      </w:pPr>
      <w:r>
        <w:t>发言人1 问：有哪些公司或技术在布局垂直供电方案，并且有望成为解决人工智能算力芯片GPU供电的重要方案？</w:t>
      </w:r>
    </w:p>
    <w:p>
      <w:r>
        <w:rPr>
          <w:rFonts w:ascii="等线(中文正文)" w:hAnsi="等线(中文正文)" w:cs="等线(中文正文)" w:eastAsia="等线(中文正文)"/>
          <w:b w:val="false"/>
          <w:i w:val="false"/>
          <w:sz w:val="20"/>
        </w:rPr>
        <w:t>发言人1 答：多家科技巨头如英飞凌、Flex等已经在产品端布局了垂直供电技术（VPG技术），该技术有望成为解决人工智能算力芯片GPU供电的重要方案之一。此外，跨电感电压调节器（TLVR）技术也被视为GPU供电方案的重要未来发展方向。</w:t>
      </w:r>
    </w:p>
    <w:p>
      <w:r>
        <w:rPr>
          <w:rFonts w:ascii="等线(中文正文)" w:hAnsi="等线(中文正文)" w:cs="等线(中文正文)" w:eastAsia="等线(中文正文)"/>
          <w:b w:val="false"/>
          <w:i w:val="false"/>
          <w:sz w:val="20"/>
        </w:rPr>
        <w:t/>
      </w:r>
    </w:p>
    <w:p>
      <w:pPr>
        <w:pStyle w:val="ab"/>
      </w:pPr>
      <w:r>
        <w:t>发言人1 问：针对大功率GPU的电压调节问题，GLVR技术提供了怎样的解决方案？</w:t>
      </w:r>
    </w:p>
    <w:p>
      <w:r>
        <w:rPr>
          <w:rFonts w:ascii="等线(中文正文)" w:hAnsi="等线(中文正文)" w:cs="等线(中文正文)" w:eastAsia="等线(中文正文)"/>
          <w:b w:val="false"/>
          <w:i w:val="false"/>
          <w:sz w:val="20"/>
        </w:rPr>
        <w:t>发言人1 答：GLVR技术通过使用分离的电缆器，每个电缆器具有1比1的特性阻抗，能够更快地完成瞬间负载反应，减少电压过充或下冲的问题。相比传统的VR结构电缆，GLVR技术采用跨界感稳压结构，可以快速实现负载适应的动态响应，并大幅减少了对电容器的质量和成本需求。</w:t>
      </w:r>
    </w:p>
    <w:p>
      <w:r>
        <w:rPr>
          <w:rFonts w:ascii="等线(中文正文)" w:hAnsi="等线(中文正文)" w:cs="等线(中文正文)" w:eastAsia="等线(中文正文)"/>
          <w:b w:val="false"/>
          <w:i w:val="false"/>
          <w:sz w:val="20"/>
        </w:rPr>
        <w:t/>
      </w:r>
    </w:p>
    <w:p>
      <w:pPr>
        <w:pStyle w:val="ab"/>
      </w:pPr>
      <w:r>
        <w:t>发言人1 问：对于相关产业链及其公司的发展前景，您们持怎样的看法和风险提示？</w:t>
      </w:r>
    </w:p>
    <w:p>
      <w:r>
        <w:rPr>
          <w:rFonts w:ascii="等线(中文正文)" w:hAnsi="等线(中文正文)" w:cs="等线(中文正文)" w:eastAsia="等线(中文正文)"/>
          <w:b w:val="false"/>
          <w:i w:val="false"/>
          <w:sz w:val="20"/>
        </w:rPr>
        <w:t>发言人1 答：我们看好相关产业链，包括新能源生产电路、中富电路、生益科技、博科新材、龙思科技等公司的发展前景。但需要注意的是，如果供应链技术进展不及预期或AI芯片需求增长不达预期，将会影响这些技术未来的发展空间和格局。</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2026-06-21T14:19:28Z</dcterms:created>
  <dc:creator>Apache POI</dc:creator>
</cp:coreProperties>
</file>