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华鑫证券  周末鑫风向  第143期：联储预期转鹰，地缘局势缓和，关注哪些机会 260621_导读</w:t>
      </w:r>
    </w:p>
    <w:p>
      <w:pPr>
        <w:pStyle w:val="a0"/>
        <w:jc w:val="center"/>
      </w:pPr>
      <w:r>
        <w:t>2026年06月21日 22:16</w:t>
      </w:r>
    </w:p>
    <w:p>
      <w:pPr>
        <w:pStyle w:val="a7"/>
      </w:pPr>
      <w:r>
        <w:t>关键词</w:t>
      </w:r>
    </w:p>
    <w:p>
      <w:r>
        <w:rPr>
          <w:rFonts w:ascii="等线(中文正文)" w:hAnsi="等线(中文正文)" w:cs="等线(中文正文)" w:eastAsia="等线(中文正文)"/>
          <w:b w:val="false"/>
          <w:i w:val="false"/>
          <w:sz w:val="20"/>
        </w:rPr>
        <w:t xml:space="preserve">美联储 日元 套息交易 油价 美债 美股 黄金 国内经济 K型分化 成长行业 半导体 通信设备 小金属 能源金属 游戏开发 光通讯存储 PCB 存储 证券 风险偏好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兴证券强调会议内容不构成投资建议，不承担损失责任，严禁未经授权传播，并保留法律追责权。会议讨论市场动态，包括美联储政策、地缘政治、商品价格波动等对投资策略的影响，及宏观经济、政策变化对各行业，如AI、半导体、有色等的机会与挑战。特别分析美伊谈判、原油供应对油价及市场情绪的影响，最后转向对A股和港股，特别是成长型行业和估值重构机会的讨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美联储鹰派转向与日元套息交易影响分析</w:t>
      </w:r>
    </w:p>
    <w:p>
      <w:r>
        <w:rPr>
          <w:rFonts w:ascii="等线(中文正文)" w:hAnsi="等线(中文正文)" w:cs="等线(中文正文)" w:eastAsia="等线(中文正文)"/>
          <w:b w:val="false"/>
          <w:i w:val="false"/>
          <w:sz w:val="20"/>
        </w:rPr>
        <w:t>会议讨论了美联储鹰派转向对全球市场的影响，特别是日元套息交易的规模累积及其对权益市场的潜在调整作用，强调了宏观错配下的日美利差未收窄及日元贬值压力。</w:t>
      </w:r>
    </w:p>
    <w:p>
      <w:r>
        <w:rPr>
          <w:rFonts w:ascii="等线(中文正文)" w:hAnsi="等线(中文正文)" w:cs="等线(中文正文)" w:eastAsia="等线(中文正文)"/>
          <w:b w:val="false"/>
          <w:i w:val="false"/>
          <w:sz w:val="20"/>
        </w:rPr>
        <w:t/>
      </w:r>
    </w:p>
    <w:p>
      <w:pPr>
        <w:pStyle w:val="ab"/>
        <w:numPr>
          <w:numId w:val="2"/>
        </w:numPr>
      </w:pPr>
      <w:r>
        <w:t>04:24 国际油价与美债、美股市场分析及投资策略</w:t>
      </w:r>
    </w:p>
    <w:p>
      <w:r>
        <w:rPr>
          <w:rFonts w:ascii="等线(中文正文)" w:hAnsi="等线(中文正文)" w:cs="等线(中文正文)" w:eastAsia="等线(中文正文)"/>
          <w:b w:val="false"/>
          <w:i w:val="false"/>
          <w:sz w:val="20"/>
        </w:rPr>
        <w:t>讨论了国际油价受地缘政治影响的短期波动与中长期趋势，建议耐心等待市场情绪出清后再布局。美债方面，维持买短等长策略，关注利率走势与经济数据。美股策略转向成长股，重点配置AI硬件行业。黄金保持逢低分批配置。</w:t>
      </w:r>
    </w:p>
    <w:p>
      <w:r>
        <w:rPr>
          <w:rFonts w:ascii="等线(中文正文)" w:hAnsi="等线(中文正文)" w:cs="等线(中文正文)" w:eastAsia="等线(中文正文)"/>
          <w:b w:val="false"/>
          <w:i w:val="false"/>
          <w:sz w:val="20"/>
        </w:rPr>
        <w:t/>
      </w:r>
    </w:p>
    <w:p>
      <w:pPr>
        <w:pStyle w:val="ab"/>
        <w:numPr>
          <w:numId w:val="3"/>
        </w:numPr>
      </w:pPr>
      <w:r>
        <w:t>09:50 国内经济K型分化与A股布局策略</w:t>
      </w:r>
    </w:p>
    <w:p>
      <w:r>
        <w:rPr>
          <w:rFonts w:ascii="等线(中文正文)" w:hAnsi="等线(中文正文)" w:cs="等线(中文正文)" w:eastAsia="等线(中文正文)"/>
          <w:b w:val="false"/>
          <w:i w:val="false"/>
          <w:sz w:val="20"/>
        </w:rPr>
        <w:t>国内经济数据显示供需结构分化明显，供给端动能强于旧产业，需求端外需强于内需。6月下半月至7月上半月，中期业绩表现与个股涨跌幅相关性提升，建议关注半导体、通信设备等景气行业。A股布局策略倾向于结构性行情，重点布局光通讯存储、小金属、能源金属及锂电池等方向，同时考虑证券和银行等低位行业以平衡市场波动。</w:t>
      </w:r>
    </w:p>
    <w:p>
      <w:r>
        <w:rPr>
          <w:rFonts w:ascii="等线(中文正文)" w:hAnsi="等线(中文正文)" w:cs="等线(中文正文)" w:eastAsia="等线(中文正文)"/>
          <w:b w:val="false"/>
          <w:i w:val="false"/>
          <w:sz w:val="20"/>
        </w:rPr>
        <w:t/>
      </w:r>
    </w:p>
    <w:p>
      <w:pPr>
        <w:pStyle w:val="ab"/>
        <w:numPr>
          <w:numId w:val="4"/>
        </w:numPr>
      </w:pPr>
      <w:r>
        <w:t>13:50 股债双牛下的市场乐观分析</w:t>
      </w:r>
    </w:p>
    <w:p>
      <w:r>
        <w:rPr>
          <w:rFonts w:ascii="等线(中文正文)" w:hAnsi="等线(中文正文)" w:cs="等线(中文正文)" w:eastAsia="等线(中文正文)"/>
          <w:b w:val="false"/>
          <w:i w:val="false"/>
          <w:sz w:val="20"/>
        </w:rPr>
        <w:t>分享者回顾了上周股债双牛的市场表现，指出宏观流动性改善与风险偏好提升是主要推动因素。展望未来，尽管实体发债可能影响宏观流动性，但预计7月前流动性将持续改善，维持市场乐观预期。风格上建议均衡配置，警惕风险偏好波动带来的市场不确定性。</w:t>
      </w:r>
    </w:p>
    <w:p>
      <w:r>
        <w:rPr>
          <w:rFonts w:ascii="等线(中文正文)" w:hAnsi="等线(中文正文)" w:cs="等线(中文正文)" w:eastAsia="等线(中文正文)"/>
          <w:b w:val="false"/>
          <w:i w:val="false"/>
          <w:sz w:val="20"/>
        </w:rPr>
        <w:t/>
      </w:r>
    </w:p>
    <w:p>
      <w:pPr>
        <w:pStyle w:val="ab"/>
        <w:numPr>
          <w:numId w:val="5"/>
        </w:numPr>
      </w:pPr>
      <w:r>
        <w:t>20:17 AI服务器电感材料：羰基铁粉需求增长与月新材产能释放</w:t>
      </w:r>
    </w:p>
    <w:p>
      <w:r>
        <w:rPr>
          <w:rFonts w:ascii="等线(中文正文)" w:hAnsi="等线(中文正文)" w:cs="等线(中文正文)" w:eastAsia="等线(中文正文)"/>
          <w:b w:val="false"/>
          <w:i w:val="false"/>
          <w:sz w:val="20"/>
        </w:rPr>
        <w:t>近期研究聚焦于AI相关上游材料，特别是羰基铁粉在高频低损耗软磁材料中的应用。月新材作为国内主要供应商，拥有近万吨产能，正通过技改扩大生产规模。随着英伟达等AI服务器对TLBR电感需求的增长，高端羰基铁粉市场有望迎来爆发。月新材通过提升高端产品占比，有望实现业绩超预期，成为推荐标的。</w:t>
      </w:r>
    </w:p>
    <w:p>
      <w:r>
        <w:rPr>
          <w:rFonts w:ascii="等线(中文正文)" w:hAnsi="等线(中文正文)" w:cs="等线(中文正文)" w:eastAsia="等线(中文正文)"/>
          <w:b w:val="false"/>
          <w:i w:val="false"/>
          <w:sz w:val="20"/>
        </w:rPr>
        <w:t/>
      </w:r>
    </w:p>
    <w:p>
      <w:pPr>
        <w:pStyle w:val="ab"/>
        <w:numPr>
          <w:numId w:val="6"/>
        </w:numPr>
      </w:pPr>
      <w:r>
        <w:t>26:57 科技股反弹分析：海外载板涨价与国内芯片需求激增</w:t>
      </w:r>
    </w:p>
    <w:p>
      <w:r>
        <w:rPr>
          <w:rFonts w:ascii="等线(中文正文)" w:hAnsi="等线(中文正文)" w:cs="等线(中文正文)" w:eastAsia="等线(中文正文)"/>
          <w:b w:val="false"/>
          <w:i w:val="false"/>
          <w:sz w:val="20"/>
        </w:rPr>
        <w:t>讨论了科技股不宜清仓的观点，指出当前指数风险减小，情绪利好成长类资产。重点分析了海外载板行业涨价趋势，特别是BT载板和ABF载板，以及国内芯片出货量增长对载板需求的影响，认为载板行业有望持续涨价。</w:t>
      </w:r>
    </w:p>
    <w:p>
      <w:r>
        <w:rPr>
          <w:rFonts w:ascii="等线(中文正文)" w:hAnsi="等线(中文正文)" w:cs="等线(中文正文)" w:eastAsia="等线(中文正文)"/>
          <w:b w:val="false"/>
          <w:i w:val="false"/>
          <w:sz w:val="20"/>
        </w:rPr>
        <w:t/>
      </w:r>
    </w:p>
    <w:p>
      <w:pPr>
        <w:pStyle w:val="ab"/>
        <w:numPr>
          <w:numId w:val="7"/>
        </w:numPr>
      </w:pPr>
      <w:r>
        <w:t>32:51 光模块行业m sup工艺紧缺与产能分析</w:t>
      </w:r>
    </w:p>
    <w:p>
      <w:r>
        <w:rPr>
          <w:rFonts w:ascii="等线(中文正文)" w:hAnsi="等线(中文正文)" w:cs="等线(中文正文)" w:eastAsia="等线(中文正文)"/>
          <w:b w:val="false"/>
          <w:i w:val="false"/>
          <w:sz w:val="20"/>
        </w:rPr>
        <w:t>对话讨论了光模块行业在1.6T及NPO时代m sup工艺的紧缺情况，指出中国大陆厂商如深南电路、棚顶等在800G时代占据全球70%份额，而随着技术升级，m sup工艺成为关键。尽管当前供给尚可，但预计四季度需求激增将导致严重紧缺，影响1.6T和NPO出货量，行业主升浪预计加速。推荐关注光伏科技m sum、BT载板和ABF载板，特别是新生科技与棚顶的产能布局。</w:t>
      </w:r>
    </w:p>
    <w:p>
      <w:r>
        <w:rPr>
          <w:rFonts w:ascii="等线(中文正文)" w:hAnsi="等线(中文正文)" w:cs="等线(中文正文)" w:eastAsia="等线(中文正文)"/>
          <w:b w:val="false"/>
          <w:i w:val="false"/>
          <w:sz w:val="20"/>
        </w:rPr>
        <w:t/>
      </w:r>
    </w:p>
    <w:p>
      <w:pPr>
        <w:pStyle w:val="ab"/>
        <w:numPr>
          <w:numId w:val="8"/>
        </w:numPr>
      </w:pPr>
      <w:r>
        <w:t>37:58 国产算力与存储行业反弹分析</w:t>
      </w:r>
    </w:p>
    <w:p>
      <w:r>
        <w:rPr>
          <w:rFonts w:ascii="等线(中文正文)" w:hAnsi="等线(中文正文)" w:cs="等线(中文正文)" w:eastAsia="等线(中文正文)"/>
          <w:b w:val="false"/>
          <w:i w:val="false"/>
          <w:sz w:val="20"/>
        </w:rPr>
        <w:t>对话聚焦国产算力和存储行业，指出存储板块在二季度业绩表现突出，预期短期内反弹力度最强。推荐关注金字塔等高弹性设备标的，及交易创新在存储领域的长期价值。同时，GPU因HBM等核心零部件涨价，预计价格将上涨，寒武纪等企业二季度业绩有望环比改善，三季度将迎来业绩拐点。</w:t>
      </w:r>
    </w:p>
    <w:p>
      <w:r>
        <w:rPr>
          <w:rFonts w:ascii="等线(中文正文)" w:hAnsi="等线(中文正文)" w:cs="等线(中文正文)" w:eastAsia="等线(中文正文)"/>
          <w:b w:val="false"/>
          <w:i w:val="false"/>
          <w:sz w:val="20"/>
        </w:rPr>
        <w:t/>
      </w:r>
    </w:p>
    <w:p>
      <w:pPr>
        <w:pStyle w:val="ab"/>
        <w:numPr>
          <w:numId w:val="9"/>
        </w:numPr>
      </w:pPr>
      <w:r>
        <w:t>42:05 国产算力与海外算力的投资机会分析</w:t>
      </w:r>
    </w:p>
    <w:p>
      <w:r>
        <w:rPr>
          <w:rFonts w:ascii="等线(中文正文)" w:hAnsi="等线(中文正文)" w:cs="等线(中文正文)" w:eastAsia="等线(中文正文)"/>
          <w:b w:val="false"/>
          <w:i w:val="false"/>
          <w:sz w:val="20"/>
        </w:rPr>
        <w:t>对话讨论了国产算力与海外算力的投资机会，重点分析了寒武纪、天书之星等标的的业绩表现和市场前景。认为国产算力将在九月份迎来明显主升浪，海外算力则聚焦于光模块和载板。玻璃基板市场被视为具有巨大潜力的赛道，预计2028年将迎来商业化进展。整体上，国产算力和海外算力的短期核心看点在于业绩表现，而玻璃基板则代表了未来新技术方向，市场空间广阔。</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强调本次会议内容不构成投资建议，华兴证券不对使用内容导致的损失负责，明确禁止未经授权的会议内容传播。他欢迎投资者参加“新风向”会议，讨论焦点为“联储政策变动与地缘局势缓和下的投资机会”。分享嘉宾包括宏观策略、固收配置、有色及半导体行业专家，将分析市场动态。他特别关注美联储及全球央行利率决策，及日元套息交易情况。他提到，国内经济数据、A股布局策略，特别是半导体、通信设备、小金属行业的景气度，以及AI、存储、半导体材料领域的投资机遇。最后，他强调业绩驱动的重要性，预测短期内业绩增长将主导市场，对国产算力及海外算力市场持乐观态度，并推荐相关投资标的。</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问：在本次会议上，华兴证券对客户是否构成投资建议，以及对于会议内容的使用有何要求？</w:t>
      </w:r>
    </w:p>
    <w:p>
      <w:r>
        <w:rPr>
          <w:rFonts w:ascii="等线(中文正文)" w:hAnsi="等线(中文正文)" w:cs="等线(中文正文)" w:eastAsia="等线(中文正文)"/>
          <w:b w:val="false"/>
          <w:i w:val="false"/>
          <w:sz w:val="20"/>
        </w:rPr>
        <w:t>发言人1 答：客户本次会议在任何情形下都不构成对会议参加者的投资建议。华兴证券不对任何人因使用会议内容而引致的任何损失承担任何责任。未经华兴证券事先书面许可，任何机构或个人严禁以任何形式将会议内容和相关信息对外公布、转发、转载、传播、复制、编辑、修改、解读等。涉嫌违反上述情形的，本公司保留追究其法律责任的权利。</w:t>
      </w:r>
    </w:p>
    <w:p>
      <w:r>
        <w:rPr>
          <w:rFonts w:ascii="等线(中文正文)" w:hAnsi="等线(中文正文)" w:cs="等线(中文正文)" w:eastAsia="等线(中文正文)"/>
          <w:b w:val="false"/>
          <w:i w:val="false"/>
          <w:sz w:val="20"/>
        </w:rPr>
        <w:t/>
      </w:r>
    </w:p>
    <w:p>
      <w:pPr>
        <w:pStyle w:val="ab"/>
      </w:pPr>
      <w:r>
        <w:t>发言人1 问：周末新风向的主题是什么，以及哪些团队将参与分享最新观点？上周海外宏观有哪三个主要事件，并且对本周市场有何影响？</w:t>
      </w:r>
    </w:p>
    <w:p>
      <w:r>
        <w:rPr>
          <w:rFonts w:ascii="等线(中文正文)" w:hAnsi="等线(中文正文)" w:cs="等线(中文正文)" w:eastAsia="等线(中文正文)"/>
          <w:b w:val="false"/>
          <w:i w:val="false"/>
          <w:sz w:val="20"/>
        </w:rPr>
        <w:t>发言人1 答：本周周末新风向主题是“联储一息转阴，地缘局势缓和关注哪些机会”。参与分享的团队主要包括总量的宏观策略组、固收的大类资产配置组，以及有色和半导体的行业研究团队。上周海外宏观主要有三个事件：一是美联储等央行的货币政策决议；二是伊朗与美国局势的变化；三是关注日元套息交易规模的持续累积。从本周的情况来看，美联储和日央行的操作使得市场对于日元加息预期有所调整，日元贬值压力较高，且日元套息交易的空头规模创历史记录，这对权益市场可能带来调整风险。</w:t>
      </w:r>
    </w:p>
    <w:p>
      <w:r>
        <w:rPr>
          <w:rFonts w:ascii="等线(中文正文)" w:hAnsi="等线(中文正文)" w:cs="等线(中文正文)" w:eastAsia="等线(中文正文)"/>
          <w:b w:val="false"/>
          <w:i w:val="false"/>
          <w:sz w:val="20"/>
        </w:rPr>
        <w:t/>
      </w:r>
    </w:p>
    <w:p>
      <w:pPr>
        <w:pStyle w:val="ab"/>
      </w:pPr>
      <w:r>
        <w:t>发言人1 问：当前日央行和美联储的货币政策立场如何？其对全球市场有何影响？</w:t>
      </w:r>
    </w:p>
    <w:p>
      <w:r>
        <w:rPr>
          <w:rFonts w:ascii="等线(中文正文)" w:hAnsi="等线(中文正文)" w:cs="等线(中文正文)" w:eastAsia="等线(中文正文)"/>
          <w:b w:val="false"/>
          <w:i w:val="false"/>
          <w:sz w:val="20"/>
        </w:rPr>
        <w:t>发言人1 答：日央行偏向谨慎微调，而美联储表现出鹰派姿态，上调了今年和未来三年的利率预测，并有官员考虑年内加息。这种宏观错配导致日元贬值压力加大，日元套息交易结构稳定，空头规模较大，对市场波动起到放大器的作用，但目前尚不具备持续性。短期而言，除非出现货币政策预期大幅扭转或股市波动触发获利了结，日元套利交易结构可能仍将维持现状。</w:t>
      </w:r>
    </w:p>
    <w:p>
      <w:r>
        <w:rPr>
          <w:rFonts w:ascii="等线(中文正文)" w:hAnsi="等线(中文正文)" w:cs="等线(中文正文)" w:eastAsia="等线(中文正文)"/>
          <w:b w:val="false"/>
          <w:i w:val="false"/>
          <w:sz w:val="20"/>
        </w:rPr>
        <w:t/>
      </w:r>
    </w:p>
    <w:p>
      <w:pPr>
        <w:pStyle w:val="ab"/>
      </w:pPr>
      <w:r>
        <w:t>发言人1 问：下周瑞士谈判以及美伊两国的地缘局势变化对未来油价有何影响？</w:t>
      </w:r>
    </w:p>
    <w:p>
      <w:r>
        <w:rPr>
          <w:rFonts w:ascii="等线(中文正文)" w:hAnsi="等线(中文正文)" w:cs="等线(中文正文)" w:eastAsia="等线(中文正文)"/>
          <w:b w:val="false"/>
          <w:i w:val="false"/>
          <w:sz w:val="20"/>
        </w:rPr>
        <w:t>发言人1 答：下周瑞士谈判可能影响地缘局势，目前美伊达成的阶段性谅解更多基于库存压力缓解，短期内可能会推动油价中枢阶段性转松。然而，中长期来看，两国战略矛盾无法调和，地缘冲突风险依然存在，因此油价可能维持高位宽幅波动，80美元可能是本轮国际油价的自然底部。建议投资者在情绪出清后布局，目前可关注美债和美股的投资策略，尤其是美债的现金属性和短期利率走势。</w:t>
      </w:r>
    </w:p>
    <w:p>
      <w:r>
        <w:rPr>
          <w:rFonts w:ascii="等线(中文正文)" w:hAnsi="等线(中文正文)" w:cs="等线(中文正文)" w:eastAsia="等线(中文正文)"/>
          <w:b w:val="false"/>
          <w:i w:val="false"/>
          <w:sz w:val="20"/>
        </w:rPr>
        <w:t/>
      </w:r>
    </w:p>
    <w:p>
      <w:pPr>
        <w:pStyle w:val="ab"/>
      </w:pPr>
      <w:r>
        <w:t>发言人1 问：美债收益率未来可能会呈现什么样的走势？</w:t>
      </w:r>
    </w:p>
    <w:p>
      <w:r>
        <w:rPr>
          <w:rFonts w:ascii="等线(中文正文)" w:hAnsi="等线(中文正文)" w:cs="等线(中文正文)" w:eastAsia="等线(中文正文)"/>
          <w:b w:val="false"/>
          <w:i w:val="false"/>
          <w:sz w:val="20"/>
        </w:rPr>
        <w:t>发言人1 答：美债收益率可能会出现两个走势的博弈。一方面，它可能会追赶当前的利率期货水平，尤其是在联储政策会议后，12月利率期货已完全定价了两次加息的情况。如果本周PC数据进一步上升或超预期，可能会导致现十年期美债收益率追赶利率期货；另一方面，在经济意外指数持续回落、市场对经济感受降温的情况下，利率期货可能会因排序和回落而走低。因此，目前美债收益率并不处于过低或过高的位置，但作为观察市场情绪和自然走势的重要指标。</w:t>
      </w:r>
    </w:p>
    <w:p>
      <w:r>
        <w:rPr>
          <w:rFonts w:ascii="等线(中文正文)" w:hAnsi="等线(中文正文)" w:cs="等线(中文正文)" w:eastAsia="等线(中文正文)"/>
          <w:b w:val="false"/>
          <w:i w:val="false"/>
          <w:sz w:val="20"/>
        </w:rPr>
        <w:t/>
      </w:r>
    </w:p>
    <w:p>
      <w:pPr>
        <w:pStyle w:val="ab"/>
      </w:pPr>
      <w:r>
        <w:t>发言人1 问：对于资产配置策略有何建议？</w:t>
      </w:r>
    </w:p>
    <w:p>
      <w:r>
        <w:rPr>
          <w:rFonts w:ascii="等线(中文正文)" w:hAnsi="等线(中文正文)" w:cs="等线(中文正文)" w:eastAsia="等线(中文正文)"/>
          <w:b w:val="false"/>
          <w:i w:val="false"/>
          <w:sz w:val="20"/>
        </w:rPr>
        <w:t>发言人1 答：建议在利率向上波动至4.5以上时布局三季度需要破坏性回落的交易性机会。短期更推荐购买短债以保持现金思路。美股方面，由于伊朗和谈带来的风险偏好回升以及地产和金融行业涨幅较大，已转向配置成长股，尤其是AI硬件相关行业，并关注存储领域如美光业绩发布带来的交易机会。黄金受美债利率和鹰派预期影响短期受挫，但长期逻辑未改，维持逢低分批配置的布局思路。</w:t>
      </w:r>
    </w:p>
    <w:p>
      <w:r>
        <w:rPr>
          <w:rFonts w:ascii="等线(中文正文)" w:hAnsi="等线(中文正文)" w:cs="等线(中文正文)" w:eastAsia="等线(中文正文)"/>
          <w:b w:val="false"/>
          <w:i w:val="false"/>
          <w:sz w:val="20"/>
        </w:rPr>
        <w:t/>
      </w:r>
    </w:p>
    <w:p>
      <w:pPr>
        <w:pStyle w:val="ab"/>
      </w:pPr>
      <w:r>
        <w:t>发言人1 问：国内经济数据的情况如何？</w:t>
      </w:r>
    </w:p>
    <w:p>
      <w:r>
        <w:rPr>
          <w:rFonts w:ascii="等线(中文正文)" w:hAnsi="等线(中文正文)" w:cs="等线(中文正文)" w:eastAsia="等线(中文正文)"/>
          <w:b w:val="false"/>
          <w:i w:val="false"/>
          <w:sz w:val="20"/>
        </w:rPr>
        <w:t>发言人1 答：国内上周公布了经济数据，整体显示经济呈现K型分化趋势。供给端工业增加值和服务业生产指数同比均高于前值，需求端进出口增速提升，但国内固定资产投资、地产销售等为负增长状态，整体需求依然羸弱，这种三成K线分化趋势进一步明确。</w:t>
      </w:r>
    </w:p>
    <w:p>
      <w:r>
        <w:rPr>
          <w:rFonts w:ascii="等线(中文正文)" w:hAnsi="等线(中文正文)" w:cs="等线(中文正文)" w:eastAsia="等线(中文正文)"/>
          <w:b w:val="false"/>
          <w:i w:val="false"/>
          <w:sz w:val="20"/>
        </w:rPr>
        <w:t/>
      </w:r>
    </w:p>
    <w:p>
      <w:pPr>
        <w:pStyle w:val="ab"/>
      </w:pPr>
      <w:r>
        <w:t>发言人1 问：对于后续资产布局有何建议？</w:t>
      </w:r>
    </w:p>
    <w:p>
      <w:r>
        <w:rPr>
          <w:rFonts w:ascii="等线(中文正文)" w:hAnsi="等线(中文正文)" w:cs="等线(中文正文)" w:eastAsia="等线(中文正文)"/>
          <w:b w:val="false"/>
          <w:i w:val="false"/>
          <w:sz w:val="20"/>
        </w:rPr>
        <w:t>发言人1 答：鉴于经济供需结构上保守总体是供给强于需求弱，且新动能强于旧产业，内需弱于外需，后续资产布局应以成长行业为主，适时进行整换资金操作。中期业绩成为下一个阶段布局重点，尤其关注6月下旬至7月上旬业绩相关性提升的时期。行业选择上，二季度有望景气度领先的包括半导体、通信设备、小金属、能源金属和游戏开发等行业，结构性行情可期，主要布局景气方向和高成长方向，同时配置部分低位业绩领先的行业如证券和银行。</w:t>
      </w:r>
    </w:p>
    <w:p>
      <w:r>
        <w:rPr>
          <w:rFonts w:ascii="等线(中文正文)" w:hAnsi="等线(中文正文)" w:cs="等线(中文正文)" w:eastAsia="等线(中文正文)"/>
          <w:b w:val="false"/>
          <w:i w:val="false"/>
          <w:sz w:val="20"/>
        </w:rPr>
        <w:t/>
      </w:r>
    </w:p>
    <w:p>
      <w:pPr>
        <w:pStyle w:val="ab"/>
      </w:pPr>
      <w:r>
        <w:t>发言人1 问：上周宏观策略分析的核心观点是什么？</w:t>
      </w:r>
    </w:p>
    <w:p>
      <w:r>
        <w:rPr>
          <w:rFonts w:ascii="等线(中文正文)" w:hAnsi="等线(中文正文)" w:cs="等线(中文正文)" w:eastAsia="等线(中文正文)"/>
          <w:b w:val="false"/>
          <w:i w:val="false"/>
          <w:sz w:val="20"/>
        </w:rPr>
        <w:t>发言人1 答：上周市场出现股债双牛行情，权益市场中成长风格明显占优。宏观流动性方面，实体有所收敛，金融资金面在上周有所改善，连续四周回升，支持了金融市场的反弹。市场整体反弹幅度超出预期，背后除了宏观流动性影响外，还与风险偏好的提升有关。对于后续，看好景气度领先行业的投资机会，如光通讯存储、半导体材料、PCB等，并结合高景气行业如小金属、能源金属、锂电池等，以及低位平衡型行业如证券和银行进行配置。</w:t>
      </w:r>
    </w:p>
    <w:p>
      <w:r>
        <w:rPr>
          <w:rFonts w:ascii="等线(中文正文)" w:hAnsi="等线(中文正文)" w:cs="等线(中文正文)" w:eastAsia="等线(中文正文)"/>
          <w:b w:val="false"/>
          <w:i w:val="false"/>
          <w:sz w:val="20"/>
        </w:rPr>
        <w:t/>
      </w:r>
    </w:p>
    <w:p>
      <w:pPr>
        <w:pStyle w:val="ab"/>
      </w:pPr>
      <w:r>
        <w:t>发言人1 问：上周国内股市上涨的主要原因是什么？</w:t>
      </w:r>
    </w:p>
    <w:p>
      <w:r>
        <w:rPr>
          <w:rFonts w:ascii="等线(中文正文)" w:hAnsi="等线(中文正文)" w:cs="等线(中文正文)" w:eastAsia="等线(中文正文)"/>
          <w:b w:val="false"/>
          <w:i w:val="false"/>
          <w:sz w:val="20"/>
        </w:rPr>
        <w:t>发言人1 答：上周国内股票市场上涨的主要因素包括风险偏好的提升以及国际油价下降带来的全球主要股市反弹。此外，美伊局势缓和也对油价下跌起到了一定作用。</w:t>
      </w:r>
    </w:p>
    <w:p>
      <w:r>
        <w:rPr>
          <w:rFonts w:ascii="等线(中文正文)" w:hAnsi="等线(中文正文)" w:cs="等线(中文正文)" w:eastAsia="等线(中文正文)"/>
          <w:b w:val="false"/>
          <w:i w:val="false"/>
          <w:sz w:val="20"/>
        </w:rPr>
        <w:t/>
      </w:r>
    </w:p>
    <w:p>
      <w:pPr>
        <w:pStyle w:val="ab"/>
      </w:pPr>
      <w:r>
        <w:t>发言人1 问：对于本周及7月份的宏观流动性判断是怎样的？</w:t>
      </w:r>
    </w:p>
    <w:p>
      <w:r>
        <w:rPr>
          <w:rFonts w:ascii="等线(中文正文)" w:hAnsi="等线(中文正文)" w:cs="等线(中文正文)" w:eastAsia="等线(中文正文)"/>
          <w:b w:val="false"/>
          <w:i w:val="false"/>
          <w:sz w:val="20"/>
        </w:rPr>
        <w:t>发言人1 答：本周资金面不会有明显改善，但实体和政府发债增量可能会对宏观流动性提供一定支持。进入7月份后，预计宏观流动性出现边际改善的概率较高，在此期间维持对市场的积极和乐观看法。然而，由于上周风险偏好的显著提升可能带来市场运行判断失误风险增加。</w:t>
      </w:r>
    </w:p>
    <w:p>
      <w:r>
        <w:rPr>
          <w:rFonts w:ascii="等线(中文正文)" w:hAnsi="等线(中文正文)" w:cs="等线(中文正文)" w:eastAsia="等线(中文正文)"/>
          <w:b w:val="false"/>
          <w:i w:val="false"/>
          <w:sz w:val="20"/>
        </w:rPr>
        <w:t/>
      </w:r>
    </w:p>
    <w:p>
      <w:pPr>
        <w:pStyle w:val="ab"/>
      </w:pPr>
      <w:r>
        <w:t>发言人1 问：风格配置上有什么建议？</w:t>
      </w:r>
    </w:p>
    <w:p>
      <w:r>
        <w:rPr>
          <w:rFonts w:ascii="等线(中文正文)" w:hAnsi="等线(中文正文)" w:cs="等线(中文正文)" w:eastAsia="等线(中文正文)"/>
          <w:b w:val="false"/>
          <w:i w:val="false"/>
          <w:sz w:val="20"/>
        </w:rPr>
        <w:t>发言人1 答：根据之前的判断，宏观流动性改善时成长风格会更占优，但在考虑风险偏好变化的情况下，风格上可能会采取相对均衡的选择，避免单边极度押注成长，以应对市场波动可能加剧的情况。</w:t>
      </w:r>
    </w:p>
    <w:p>
      <w:r>
        <w:rPr>
          <w:rFonts w:ascii="等线(中文正文)" w:hAnsi="等线(中文正文)" w:cs="等线(中文正文)" w:eastAsia="等线(中文正文)"/>
          <w:b w:val="false"/>
          <w:i w:val="false"/>
          <w:sz w:val="20"/>
        </w:rPr>
        <w:t/>
      </w:r>
    </w:p>
    <w:p>
      <w:pPr>
        <w:pStyle w:val="ab"/>
      </w:pPr>
      <w:r>
        <w:t>发言人1 问：对于权益市场的整体看法是什么？</w:t>
      </w:r>
    </w:p>
    <w:p>
      <w:r>
        <w:rPr>
          <w:rFonts w:ascii="等线(中文正文)" w:hAnsi="等线(中文正文)" w:cs="等线(中文正文)" w:eastAsia="等线(中文正文)"/>
          <w:b w:val="false"/>
          <w:i w:val="false"/>
          <w:sz w:val="20"/>
        </w:rPr>
        <w:t>发言人1 答：在看到7月份流动性拐点之前，对权益市场持乐观态度，并计划维持这种看法。</w:t>
      </w:r>
    </w:p>
    <w:p>
      <w:r>
        <w:rPr>
          <w:rFonts w:ascii="等线(中文正文)" w:hAnsi="等线(中文正文)" w:cs="等线(中文正文)" w:eastAsia="等线(中文正文)"/>
          <w:b w:val="false"/>
          <w:i w:val="false"/>
          <w:sz w:val="20"/>
        </w:rPr>
        <w:t/>
      </w:r>
    </w:p>
    <w:p>
      <w:pPr>
        <w:pStyle w:val="ab"/>
      </w:pPr>
      <w:r>
        <w:t>发言人1 问：能否分享一下新材料公司的相关情况？</w:t>
      </w:r>
    </w:p>
    <w:p>
      <w:r>
        <w:rPr>
          <w:rFonts w:ascii="等线(中文正文)" w:hAnsi="等线(中文正文)" w:cs="等线(中文正文)" w:eastAsia="等线(中文正文)"/>
          <w:b w:val="false"/>
          <w:i w:val="false"/>
          <w:sz w:val="20"/>
        </w:rPr>
        <w:t>发言人1 答：新材料公司主营羰基铁粉，该产品用于提升材料磁性强度，市场需求随着AI相关上游应用的发展而增长。这家公司目前有7000多吨产能，且有计划扩大产能至1.6万吨左右。其产品已进入英伟达供应链，为台湾一家做电感的公司供货，用于高端芯片电感制造。随着高端市场需求的提升，公司有望逐步提高高端产品的市场份额。</w:t>
      </w:r>
    </w:p>
    <w:p>
      <w:r>
        <w:rPr>
          <w:rFonts w:ascii="等线(中文正文)" w:hAnsi="等线(中文正文)" w:cs="等线(中文正文)" w:eastAsia="等线(中文正文)"/>
          <w:b w:val="false"/>
          <w:i w:val="false"/>
          <w:sz w:val="20"/>
        </w:rPr>
        <w:t/>
      </w:r>
    </w:p>
    <w:p>
      <w:pPr>
        <w:pStyle w:val="ab"/>
      </w:pPr>
      <w:r>
        <w:t>发言人1 问：未来羰基铁粉的需求量会有何变化？裕安新材在电感领域的受益点有哪些？</w:t>
      </w:r>
    </w:p>
    <w:p>
      <w:r>
        <w:rPr>
          <w:rFonts w:ascii="等线(中文正文)" w:hAnsi="等线(中文正文)" w:cs="等线(中文正文)" w:eastAsia="等线(中文正文)"/>
          <w:b w:val="false"/>
          <w:i w:val="false"/>
          <w:sz w:val="20"/>
        </w:rPr>
        <w:t>发言人1 答：未来来看，羰基铁粉的需求量可能会有一个很大的提升，尤其是在TFI电感和AI服务器中电感用量的增长上。由于国内供应商受限于环保要求未能扩产，国外供应商也未见扩产动作，而国内的裕安新材有望成为主要供应商之一。裕安新材有望受益于AI服务器中的电感需求，原因在于技术迭代和电感密度的提升。预计未来售价和产能释放都有可能超预期表现，明年业绩预计在1.4亿左右，且随着新建产能和技术改造的释放，产能有望接近翻倍。此外，高端产品占比可能还会提升，并且在出现供需紧张情况下可能出现涨价。</w:t>
      </w:r>
    </w:p>
    <w:p>
      <w:r>
        <w:rPr>
          <w:rFonts w:ascii="等线(中文正文)" w:hAnsi="等线(中文正文)" w:cs="等线(中文正文)" w:eastAsia="等线(中文正文)"/>
          <w:b w:val="false"/>
          <w:i w:val="false"/>
          <w:sz w:val="20"/>
        </w:rPr>
        <w:t/>
      </w:r>
    </w:p>
    <w:p>
      <w:pPr>
        <w:pStyle w:val="ab"/>
      </w:pPr>
      <w:r>
        <w:t>发言人1 问：对于科技板块的投资策略是什么？</w:t>
      </w:r>
    </w:p>
    <w:p>
      <w:r>
        <w:rPr>
          <w:rFonts w:ascii="等线(中文正文)" w:hAnsi="等线(中文正文)" w:cs="等线(中文正文)" w:eastAsia="等线(中文正文)"/>
          <w:b w:val="false"/>
          <w:i w:val="false"/>
          <w:sz w:val="20"/>
        </w:rPr>
        <w:t>发言人1 答：目前整体科技板块不宜清仓，踏空风险大于抄底风险。国家队资金正在维护指数，短期指数风险压力减小，成长类、科技类资产情绪上受到利好影响。在A股市场中，建议关注海外业绩最确定的方向，如光模块、载板等细分领域，其中旭创科技的业绩会超市场预期，光模块是核心反弹方向之一；同时，ABF载板和MSUP工艺的需求量也将显著增长，尤其是在高容量和先进封装方面，海外供给紧张，涨价趋势明显。</w:t>
      </w:r>
    </w:p>
    <w:p>
      <w:r>
        <w:rPr>
          <w:rFonts w:ascii="等线(中文正文)" w:hAnsi="等线(中文正文)" w:cs="等线(中文正文)" w:eastAsia="等线(中文正文)"/>
          <w:b w:val="false"/>
          <w:i w:val="false"/>
          <w:sz w:val="20"/>
        </w:rPr>
        <w:t/>
      </w:r>
    </w:p>
    <w:p>
      <w:pPr>
        <w:pStyle w:val="ab"/>
      </w:pPr>
      <w:r>
        <w:t>发言人1 问：在m sap工艺方面，中国大陆有哪些厂商具备这一能力，并且在产能上有哪些表现？整个行业对窄板和m sap工艺的业绩预期是怎样的？</w:t>
      </w:r>
    </w:p>
    <w:p>
      <w:r>
        <w:rPr>
          <w:rFonts w:ascii="等线(中文正文)" w:hAnsi="等线(中文正文)" w:cs="等线(中文正文)" w:eastAsia="等线(中文正文)"/>
          <w:b w:val="false"/>
          <w:i w:val="false"/>
          <w:sz w:val="20"/>
        </w:rPr>
        <w:t>发言人1 答：中国大陆具备m sap工艺能力的主要是核心载板厂，例如新增和深南等。新增厂拥有8条产线在运行，尽管稼动率不高，但仍有大量SLP产能，特别是由于之前为华为获取了较多载板产能，所以整体产能较为丰富。此外，棚顶作为苹果HSLP的核心供应商，其产能布局也较为关键。从整个行业来看，二季度光伏科技的m sap工艺业绩相对确认，上游环节出现卡脖子现象并伴随涨价，这使得m sup成为海外算力中二季度业绩较为确定的方向。进入三季度后，1.6T光模块虽未大规模放量，但到了四季度，随着需求增长，中国大陆厂商如新生、棚顶和深南等将占据更多市场份额，产能持续扩张，从而确保这部分业务的主要供应商仍会集中在中国大陆地区。</w:t>
      </w:r>
    </w:p>
    <w:p>
      <w:r>
        <w:rPr>
          <w:rFonts w:ascii="等线(中文正文)" w:hAnsi="等线(中文正文)" w:cs="等线(中文正文)" w:eastAsia="等线(中文正文)"/>
          <w:b w:val="false"/>
          <w:i w:val="false"/>
          <w:sz w:val="20"/>
        </w:rPr>
        <w:t/>
      </w:r>
    </w:p>
    <w:p>
      <w:pPr>
        <w:pStyle w:val="ab"/>
      </w:pPr>
      <w:r>
        <w:t>发言人1 问：存储国产化领域的情况如何？有哪些业绩确定性强的公司推荐？</w:t>
      </w:r>
    </w:p>
    <w:p>
      <w:r>
        <w:rPr>
          <w:rFonts w:ascii="等线(中文正文)" w:hAnsi="等线(中文正文)" w:cs="等线(中文正文)" w:eastAsia="等线(中文正文)"/>
          <w:b w:val="false"/>
          <w:i w:val="false"/>
          <w:sz w:val="20"/>
        </w:rPr>
        <w:t>发言人1 答：存储国产化领域中，二季度业绩较为确定的是存储厂商及其模组厂和设备厂，例如交易创新等。随着美光业绩发布会的临近以及未来可能登录资本市场，存储这一条线在短期内有望获得强劲反弹，因此推荐以长期投资为主，其中长兴标识度最高、业绩确定性最强，而金字塔作为设备厂商，订单情况良好，未来几年增长空间巨大。</w:t>
      </w:r>
    </w:p>
    <w:p>
      <w:r>
        <w:rPr>
          <w:rFonts w:ascii="等线(中文正文)" w:hAnsi="等线(中文正文)" w:cs="等线(中文正文)" w:eastAsia="等线(中文正文)"/>
          <w:b w:val="false"/>
          <w:i w:val="false"/>
          <w:sz w:val="20"/>
        </w:rPr>
        <w:t/>
      </w:r>
    </w:p>
    <w:p>
      <w:pPr>
        <w:pStyle w:val="ab"/>
      </w:pPr>
      <w:r>
        <w:t>发言人1 问：GPU及GPU相关产业链的现状如何？有哪些投资机会？</w:t>
      </w:r>
    </w:p>
    <w:p>
      <w:r>
        <w:rPr>
          <w:rFonts w:ascii="等线(中文正文)" w:hAnsi="等线(中文正文)" w:cs="等线(中文正文)" w:eastAsia="等线(中文正文)"/>
          <w:b w:val="false"/>
          <w:i w:val="false"/>
          <w:sz w:val="20"/>
        </w:rPr>
        <w:t>发言人1 答：目前GPU价格上涨明显，尤其是由于HBM价格暴涨，导致GPU板卡成本不得不随之上涨。以寒武纪为首的一些国内GPU厂商正在通过各种方式筹集资金以应对核心零部件价格上涨的问题。预计二季度环比会有不错表现，三季度起业绩将开始大量释放，尤其是贤淑之星、寒武纪、天数之星等厂商在三季度业绩会有显著增长，从而带动整个国产算力赛道的表现。</w:t>
      </w:r>
    </w:p>
    <w:p>
      <w:r>
        <w:rPr>
          <w:rFonts w:ascii="等线(中文正文)" w:hAnsi="等线(中文正文)" w:cs="等线(中文正文)" w:eastAsia="等线(中文正文)"/>
          <w:b w:val="false"/>
          <w:i w:val="false"/>
          <w:sz w:val="20"/>
        </w:rPr>
        <w:t/>
      </w:r>
    </w:p>
    <w:p>
      <w:pPr>
        <w:pStyle w:val="ab"/>
      </w:pPr>
      <w:r>
        <w:t>发言人1 问：对于玻璃基板这个赛道有何看法？有哪些重点推荐标的？</w:t>
      </w:r>
    </w:p>
    <w:p>
      <w:r>
        <w:rPr>
          <w:rFonts w:ascii="等线(中文正文)" w:hAnsi="等线(中文正文)" w:cs="等线(中文正文)" w:eastAsia="等线(中文正文)"/>
          <w:b w:val="false"/>
          <w:i w:val="false"/>
          <w:sz w:val="20"/>
        </w:rPr>
        <w:t>发言人1 答：玻璃基板市场目前空间巨大，尤其是明年将有新产线投产，虽然大规模商业化应用可能在2028年之后，但该赛道已引起广泛关注，有望带来国内标的估值重构的机会。核心看好康宁的两大合作供应商——蓝色科技和京东方。这一领域尚未明确业绩天花板，且很多相关标的估值相对便宜，随着新技术的发展，有望成为未来新的投资热点。</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2026-06-21T14:19:28Z</dcterms:created>
  <dc:creator>Apache POI</dc:creator>
</cp:coreProperties>
</file>