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国金策略  策略周论：分化在延续，变化在酝酿 260621_导读</w:t>
      </w:r>
    </w:p>
    <w:p>
      <w:pPr>
        <w:pStyle w:val="a0"/>
        <w:jc w:val="center"/>
      </w:pPr>
      <w:r>
        <w:t>2026年06月21日 22:15</w:t>
      </w:r>
    </w:p>
    <w:p>
      <w:pPr>
        <w:pStyle w:val="a7"/>
      </w:pPr>
      <w:r>
        <w:t>关键词</w:t>
      </w:r>
    </w:p>
    <w:p>
      <w:r>
        <w:rPr>
          <w:rFonts w:ascii="等线(中文正文)" w:hAnsi="等线(中文正文)" w:cs="等线(中文正文)" w:eastAsia="等线(中文正文)"/>
          <w:b w:val="false"/>
          <w:i w:val="false"/>
          <w:sz w:val="20"/>
        </w:rPr>
        <w:t xml:space="preserve">霍尔木兹海峡 美联储 地缘风险 降息 科技 工业金属 通胀 复苏 美国经济 风格均衡 流量修复 AI 传统事件 新兴市场 消费需求 制造业需求 基建需求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策略分析师讨论了市场多个关键主题，包括霍尔木兹海峡的重新开放及其对原油价格的潜在影响，地缘政治风险的缓解和美联储政策动态。指出尽管地缘政治紧张局势缓和、原油价格下跌，市场的传导效应尚需时间显现。强调美联储的政策决定减少了短期内降息的预期，对市场产生影响。分析了科技行业发展趋势，指出美国和中国在工业基础、科技领域的不同表现，市场正经历风格再均衡。最后，强调了对科技领域投资机会的看好以及市场震荡格局的预测，旨在为专业投资机构提供研究观点和市场洞察。</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霍尔木兹海峡与美联储政策对市场的影响分析</w:t>
      </w:r>
    </w:p>
    <w:p>
      <w:r>
        <w:rPr>
          <w:rFonts w:ascii="等线(中文正文)" w:hAnsi="等线(中文正文)" w:cs="等线(中文正文)" w:eastAsia="等线(中文正文)"/>
          <w:b w:val="false"/>
          <w:i w:val="false"/>
          <w:sz w:val="20"/>
        </w:rPr>
        <w:t>讨论了霍尔木兹海峡重新开放对地缘风险溢价出清及原油市场的影响，以及美联储政策利率上调对全球顺周期资产和科技领域不同影响，指出传统经济驱动动力不足，而科技领域逻辑未弱化。</w:t>
      </w:r>
    </w:p>
    <w:p>
      <w:r>
        <w:rPr>
          <w:rFonts w:ascii="等线(中文正文)" w:hAnsi="等线(中文正文)" w:cs="等线(中文正文)" w:eastAsia="等线(中文正文)"/>
          <w:b w:val="false"/>
          <w:i w:val="false"/>
          <w:sz w:val="20"/>
        </w:rPr>
        <w:t/>
      </w:r>
    </w:p>
    <w:p>
      <w:pPr>
        <w:pStyle w:val="ab"/>
        <w:numPr>
          <w:numId w:val="2"/>
        </w:numPr>
      </w:pPr>
      <w:r>
        <w:t>06:24 中美股市风格分化与均衡趋势分析</w:t>
      </w:r>
    </w:p>
    <w:p>
      <w:r>
        <w:rPr>
          <w:rFonts w:ascii="等线(中文正文)" w:hAnsi="等线(中文正文)" w:cs="等线(中文正文)" w:eastAsia="等线(中文正文)"/>
          <w:b w:val="false"/>
          <w:i w:val="false"/>
          <w:sz w:val="20"/>
        </w:rPr>
        <w:t>对话探讨了中美股市风格差异，指出美股已呈现风格均衡，科技与传统行业共同推动市场，而中国股市风格分化，依赖高端制造与AI出口及新兴市场需求。中美股市风格差异源于经济结构与需求侧变化，未来或需海外需求收敛以实现国内市场的风格均衡。</w:t>
      </w:r>
    </w:p>
    <w:p>
      <w:r>
        <w:rPr>
          <w:rFonts w:ascii="等线(中文正文)" w:hAnsi="等线(中文正文)" w:cs="等线(中文正文)" w:eastAsia="等线(中文正文)"/>
          <w:b w:val="false"/>
          <w:i w:val="false"/>
          <w:sz w:val="20"/>
        </w:rPr>
        <w:t/>
      </w:r>
    </w:p>
    <w:p>
      <w:pPr>
        <w:pStyle w:val="ab"/>
        <w:numPr>
          <w:numId w:val="3"/>
        </w:numPr>
      </w:pPr>
      <w:r>
        <w:t>09:35 科技通胀与市场配置策略探讨</w:t>
      </w:r>
    </w:p>
    <w:p>
      <w:r>
        <w:rPr>
          <w:rFonts w:ascii="等线(中文正文)" w:hAnsi="等线(中文正文)" w:cs="等线(中文正文)" w:eastAsia="等线(中文正文)"/>
          <w:b w:val="false"/>
          <w:i w:val="false"/>
          <w:sz w:val="20"/>
        </w:rPr>
        <w:t>对话围绕科技通胀作为市场主线展开，强调短期内科技通胀的重要性，并提到科技领域可能从复苏期走向过热期，需警惕滞胀风险。推荐关注半导体AI材料、半导体设备与制造等涨价和资本开支相关领域。同时，若美联储紧缩预期修正，工业金属和出海链条有望修复。能源链条的配置价值将在科技交易放缓后逐渐显现，整体市场维持震荡格局。</w:t>
      </w:r>
    </w:p>
    <w:p>
      <w:r>
        <w:rPr>
          <w:rFonts w:ascii="等线(中文正文)" w:hAnsi="等线(中文正文)" w:cs="等线(中文正文)" w:eastAsia="等线(中文正文)"/>
          <w:b w:val="false"/>
          <w:i w:val="false"/>
          <w:sz w:val="20"/>
        </w:rPr>
        <w:t/>
      </w:r>
    </w:p>
    <w:p>
      <w:pPr>
        <w:pStyle w:val="a7"/>
      </w:pPr>
      <w:r>
        <w:t>发言总结</w:t>
      </w:r>
    </w:p>
    <w:p>
      <w:pPr>
        <w:pStyle w:val="ab"/>
        <w:numPr>
          <w:numId w:val="4"/>
        </w:numPr>
      </w:pPr>
      <w:r>
        <w:t>发言人1</w:t>
      </w:r>
    </w:p>
    <w:p>
      <w:r>
        <w:rPr>
          <w:rFonts w:ascii="等线(中文正文)" w:hAnsi="等线(中文正文)" w:cs="等线(中文正文)" w:eastAsia="等线(中文正文)"/>
          <w:b w:val="false"/>
          <w:i w:val="false"/>
          <w:sz w:val="20"/>
        </w:rPr>
        <w:t>他在国金策略周论中指出，当前市场正经历分化与变化，关注焦点为霍尔木兹海峡的重新开放和美联储政策调整。海峡的开放虽缓解了地缘政治风险，但其正面影响尚未完全体现于全球顺周期资产中。美联储政策的不确定性对市场构成潜在影响。发言人进一步分析了科技行业与传统行业在不同国家的表现差异，强调美国科技行业的强势地位及中国经济结构的多样性。最后，发言人指出，短期内科技行业仍将是市场关注的核心，但预计未来能源和工业金属等领域将逐渐显现配置价值，整体市场将维持震荡格局。</w:t>
      </w:r>
    </w:p>
    <w:p>
      <w:r>
        <w:rPr>
          <w:rFonts w:ascii="等线(中文正文)" w:hAnsi="等线(中文正文)" w:cs="等线(中文正文)" w:eastAsia="等线(中文正文)"/>
          <w:b w:val="false"/>
          <w:i w:val="false"/>
          <w:sz w:val="20"/>
        </w:rPr>
        <w:t/>
      </w:r>
    </w:p>
    <w:p>
      <w:pPr>
        <w:pStyle w:val="a7"/>
      </w:pPr>
      <w:r>
        <w:t>要点回顾</w:t>
      </w:r>
    </w:p>
    <w:p>
      <w:pPr>
        <w:pStyle w:val="ab"/>
      </w:pPr>
      <w:r>
        <w:t>上周市场对于地缘风险的变化有哪些关键点？</w:t>
      </w:r>
    </w:p>
    <w:p>
      <w:r>
        <w:rPr>
          <w:rFonts w:ascii="等线(中文正文)" w:hAnsi="等线(中文正文)" w:cs="等线(中文正文)" w:eastAsia="等线(中文正文)"/>
          <w:b w:val="false"/>
          <w:i w:val="false"/>
          <w:sz w:val="20"/>
        </w:rPr>
        <w:t>发言人1：上周霍尔木兹海峡重新开放并进入执行阶段，尽管周末出现波动，但整体上地缘风险有所缓和。具体表现为框架协议签订导致溢价减少，现货价格跌破80美元，意味着自3月1号以来的地缘风险溢价基本出清。此外，现货基差回落至贴水状态，近月油价回到2月下旬水平，且霍尔木斯海峡通航量增加至单日25艘，虽然伊朗表示可能关闭海峡，但大方向上正逐渐恢复正常。</w:t>
      </w:r>
    </w:p>
    <w:p>
      <w:r>
        <w:rPr>
          <w:rFonts w:ascii="等线(中文正文)" w:hAnsi="等线(中文正文)" w:cs="等线(中文正文)" w:eastAsia="等线(中文正文)"/>
          <w:b w:val="false"/>
          <w:i w:val="false"/>
          <w:sz w:val="20"/>
        </w:rPr>
        <w:t/>
      </w:r>
    </w:p>
    <w:p>
      <w:pPr>
        <w:pStyle w:val="ab"/>
      </w:pPr>
      <w:r>
        <w:t>美联储政策对未来市场有何影响？</w:t>
      </w:r>
    </w:p>
    <w:p>
      <w:r>
        <w:rPr>
          <w:rFonts w:ascii="等线(中文正文)" w:hAnsi="等线(中文正文)" w:cs="等线(中文正文)" w:eastAsia="等线(中文正文)"/>
          <w:b w:val="false"/>
          <w:i w:val="false"/>
          <w:sz w:val="20"/>
        </w:rPr>
        <w:t>发言人1：在六月份的FOMC会议上，利率维持不变，但美联储给出鹰派信号，预计联邦基金利率中值将从3.4上调至3.8，暗示降息可能性延迟，政策利率中枢上移，PCE通胀预测上升，失业率下降。这表明美联储阶段性没有稳固风险，但已给出先进预期，短期内降息不可见，市场仍处于偏紧状态。</w:t>
      </w:r>
    </w:p>
    <w:p>
      <w:r>
        <w:rPr>
          <w:rFonts w:ascii="等线(中文正文)" w:hAnsi="等线(中文正文)" w:cs="等线(中文正文)" w:eastAsia="等线(中文正文)"/>
          <w:b w:val="false"/>
          <w:i w:val="false"/>
          <w:sz w:val="20"/>
        </w:rPr>
        <w:t/>
      </w:r>
    </w:p>
    <w:p>
      <w:pPr>
        <w:pStyle w:val="ab"/>
      </w:pPr>
      <w:r>
        <w:t>当前两个事件（霍尔木斯坦恢复和美联储政策）对传统和科技行业的影响如何？</w:t>
      </w:r>
    </w:p>
    <w:p>
      <w:r>
        <w:rPr>
          <w:rFonts w:ascii="等线(中文正文)" w:hAnsi="等线(中文正文)" w:cs="等线(中文正文)" w:eastAsia="等线(中文正文)"/>
          <w:b w:val="false"/>
          <w:i w:val="false"/>
          <w:sz w:val="20"/>
        </w:rPr>
        <w:t>发言人1：对于传统事件，霍尔木斯坦流量恢复的影响需要时间传导至全球经济活动，而利率上升或无法下降会导致复苏延迟。在科技领域，由于目前科技类资产通胀水平仍处在负利率区间，对实体经济的影响相对较小。因此，目前来看，这两个事件对传统行业的驱动动力不足，而在科技领域，其正常逻辑未被弱化。</w:t>
      </w:r>
    </w:p>
    <w:p>
      <w:r>
        <w:rPr>
          <w:rFonts w:ascii="等线(中文正文)" w:hAnsi="等线(中文正文)" w:cs="等线(中文正文)" w:eastAsia="等线(中文正文)"/>
          <w:b w:val="false"/>
          <w:i w:val="false"/>
          <w:sz w:val="20"/>
        </w:rPr>
        <w:t/>
      </w:r>
    </w:p>
    <w:p>
      <w:pPr>
        <w:pStyle w:val="ab"/>
      </w:pPr>
      <w:r>
        <w:t>美国经济状况及其与中国的差异是什么？</w:t>
      </w:r>
    </w:p>
    <w:p>
      <w:r>
        <w:rPr>
          <w:rFonts w:ascii="等线(中文正文)" w:hAnsi="等线(中文正文)" w:cs="等线(中文正文)" w:eastAsia="等线(中文正文)"/>
          <w:b w:val="false"/>
          <w:i w:val="false"/>
          <w:sz w:val="20"/>
        </w:rPr>
        <w:t>发言人1：美国经济呈现明显的复苏态势，风格均衡，工业、制造业和消费需求均有改善，尤其是AI相关行业和高端制造表现出结构性向好。而在中国，盈利周期修复依赖于高端制造出口和新兴市场故事共振，目前风格极致分化，海外消费需求、制造业需求和基建需求不同程度回落，需要海外需求收敛而非国内政策对冲。</w:t>
      </w:r>
    </w:p>
    <w:p>
      <w:r>
        <w:rPr>
          <w:rFonts w:ascii="等线(中文正文)" w:hAnsi="等线(中文正文)" w:cs="等线(中文正文)" w:eastAsia="等线(中文正文)"/>
          <w:b w:val="false"/>
          <w:i w:val="false"/>
          <w:sz w:val="20"/>
        </w:rPr>
        <w:t/>
      </w:r>
    </w:p>
    <w:p>
      <w:pPr>
        <w:pStyle w:val="ab"/>
      </w:pPr>
      <w:r>
        <w:t>对于未来投资方向有何建议？</w:t>
      </w:r>
    </w:p>
    <w:p>
      <w:r>
        <w:rPr>
          <w:rFonts w:ascii="等线(中文正文)" w:hAnsi="等线(中文正文)" w:cs="等线(中文正文)" w:eastAsia="等线(中文正文)"/>
          <w:b w:val="false"/>
          <w:i w:val="false"/>
          <w:sz w:val="20"/>
        </w:rPr>
        <w:t>发言人1：在短期内，科技领域的通胀仍是重要主线，尤其关注与涨价和资本开支相关的半导体、AI材料及设备等领域。此外，随着科技通胀交易放缓，工业金属和出海链条的修复也会逐步体现配置价值。对于整个能源链条，流量修复虽非当前主要矛盾，但在上述主线交易放缓后将展现其配置价值。总体而言，市场维持震荡格局判断。</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2026-06-21T14:19:28Z</dcterms:created>
  <dc:creator>Apache POI</dc:creator>
</cp:coreProperties>
</file>