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西部策略首席谈 - 一周路演回顾总结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我们开始，各位投资朋友，晚上好啊。西部策略首席曹柳龙和大家汇报一下我们本周的论文总结以及未来市场的展望。西部策略团队每周六晚上八点的时候，都会做一个市场的一个总结和展望，欢迎各位投资朋友们收听。然后本次展望的一个本次回顾和展望的主题的话，就是当前处于这个市场风格，是否可能会出现切换。我们的回答是肯定的，大概是在今年三季度，整个市场风格它会出现切换，为什么这么说呢？有几个点汇报一下。第一个点的话是我们在年度策略展望，就是前段时间刚披露的年度策略，刚发布的年度策略展望当中，我们就指出了一个数据，在过去一年半的时间当中，AI和涨价这两个牛市杠铃策略，基本上行情是五五开的。比如说像去年一季度、去年三季度和今年二季度，连续三个季度是差不多三个季度不是AI领导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淡定请关注公众号思维纪要社，更多纪要请加V西安20210130方面我们也可以看到，像去年的二季度，去年的四季度和今年的一季度，总共也是三个季度，基本上是涨价行情。那么去年二季度的话是有色涨价，去年四季度和今年一季度的话是有色、化工、新能源、石油相关的这些板块涨价，那这也就意味着什么？这也就意味着至少在过年过去一年半的时间当中，A股它是呈现出一个牛市杠铃的策略牛市杠铃的策略。这种牛市杠铃策略其实是和2到24年的熊市杠铃策略作为一个对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2到20年熊市杠铃策略主要两个方向，一个是AI另外一个是红利。那么最近两年的那个牛市杠铃策略，那一个是AI另外一个就涨价。AI它自然是那个产业逻辑，这不用多说。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但为什么之前的杠铃从一端的涨价切换到从之前的那个红利切换到涨价呢？因为熊市本身它的核心逻辑是人民币贬值，资本外逃，导致国内流动性环境自己最紧张。所以在2到24年的时候，那个红利策略它具备流动性的稀缺性，得到市场的抱团。但现在牛市这波牛市的本质是美联储结束降息，人民币回归升值。跨境资本和国民财富回流带来要素价格，包括股通过PPI包括CPI要素价格的一个修复。因此我们不是因此那个红红利他就不再具备流动性的稀缺性。我们要需要追求的是流动性的丰富性和充沛性，这个就涨价。所以我们可以看到最近一年半AF和涨价这两个牛市杠铃的两端，它基本上是五五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03:28</w:t>
      </w:r>
    </w:p>
    <w:p>
      <w:r>
        <w:rPr>
          <w:rFonts w:ascii="等线(中文正文)" w:hAnsi="等线(中文正文)" w:cs="等线(中文正文)" w:eastAsia="等线(中文正文)"/>
          <w:b w:val="false"/>
          <w:i w:val="false"/>
          <w:sz w:val="20"/>
        </w:rPr>
        <w:t>但今年二季度我们需要承认，今年二季度科技抱团确实过于极致了。我们做了这样的数据，就是我们看到像电子和通信它的交易拥挤度。目前的交易拥挤度正在加速赶底，最近几年电子和通信它交易拥挤度数据可以有个下限，有个上限，它基本上拥挤都是在上限和下限之间震荡的。但是今年二季度电子和通信它交易用季度是明显的突破上限以后加速赶底。那目前所处的位置是什么呢？是所处的位置是过去几年的上限的两倍减去下限。到了这个位置，这其实就是历史上的一个集资附近了。为什么这么说？因为20年初的白酒，它也在差不多小半年的时间当中，快交通几度快速赶顶。那也是到了两倍上限减去一倍下限的这样一个位置以后，那白酒这种形式抱团行情就瓦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22年8月份的时候，电信也是在差不多半年的时间内，它的交易应用季度突破上限以后加速赶顶。赶顶以后这个底就是两倍上限减去一倍下限。到了这个顶部以后，拥挤度也是出现了非常明显的一个回落，或者说市场行情也出现这样的一个回落。所以当前电子和通信它拥较拥挤中所处的水位是接近二年初的白酒和22年八月份的定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到了这位置以后，几度抱团行情，历史上来他一般都会出现松动。而且同样另一个特征的话，就是二季度的AI行情出现了以聚然而万物不的这样的特征，那就只有AI有行情。我们可以看到除了AI龙头领涨之外，像PPI链的出海龙头以及CPI链的消费龙头，基本上都是没有什么行情的那固然那个基本面是集资抱团背后的原因，因为很多人会说AI它确实基本面很强。但是消费和消费和资本开支，和制造业的资本开支，它的一个基本面的很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但我们想强调的什么呢？我们想强调的是传统经济其实并没有那么差，而AI的shift其实也没有那么的完美，为什么这么说？首先传统经济其实一直来说是不差的，为什么呢？这就是本轮牛市它的核心的驱动力。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本轮牛市是人民币升值驱动跨境资本国民财富回流。那这些资本和财富回流以后，正在修复国内各类要素价格。我们可以看到从财报数据当中可以看到，像上游资源、中游材料和中游制造。在典型的行业是上游资源有色、中油材料、化工，中游制造电力设备、新能源。他们的毛利率开始修复，RO也正在修复，相对市场走势也出现了明显的修复。这也就意味着整个PPI链条以及股价链条都已经出现了较为明显的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但是从财报上我们也可以看到，像大消费板块，它的毛利率最近两年基本上是平的，而它的ROE是回落的。然后它的市场相对走势是往下走的那这也就意味着什么？意味着当前实体部门资产负债表收缩。受到这个影响，当前整个大消费板块，它要素价格还没有出现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但是大消费板块要素价格大概率后面会修复，那为什么呢？因为我们看同样在财报里面看到了一个端倪。这个端倪我们在之前的年度策略展望当中，中期策略展望当中，我们也也提示到了，这个概念是什么呢？就是我们观察到在人密集型的制造业行业当中，这些行业当中，25年年报利润改善的行业。在26年一季报支付给工人的薪酬也都明显出现了一个扩张。平均扩张的幅度大概是10%左右。这也就意味着这个逻辑链条是人民币升值，财富回流要素价格，尤其是PPI价格修复，带来制造业人力密集型制造业它盈利扩张。盈利扩张以后，带来支付给工人的薪酬也在明显的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而我们判断工人薪酬的抬升，它最终也会传导到居民消费能力的一个修复。这也就意味着，今年下半年如果方面如果资产代表修复，那它能够修复居民的消费意愿。而当前同时伴随着工人薪酬的产生的话，也能够修复居民的消费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而这种消费能力和消费意愿相继得到修复的话，那今年下半年那个CPI链条涨价，它也是可以期待的那这也就意味着我们可以看到，当前传统经济其实并不是那么差的。因为跨境资本回流，它正在修复企业盈利以及工人薪酬。现在最包括所谓的拖后腿的大消费板块。整个今年下半年资产代表修复以后，那大消费板块CPI链条它大概率也能够涨价。所以虽然二季度那个AI和涨价行情，AI行情它非常极致，然后涨价行情相对来说是比较智造的。但是我们从财务数据，从逻辑上我们可以推导出来，就当前的传统经济或者说当前的涨价这条线条，它基本面其实并不差。PPI已经在修复了，CPI也出现了正在修复的这样的端倪，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09:47</w:t>
      </w:r>
    </w:p>
    <w:p>
      <w:r>
        <w:rPr>
          <w:rFonts w:ascii="等线(中文正文)" w:hAnsi="等线(中文正文)" w:cs="等线(中文正文)" w:eastAsia="等线(中文正文)"/>
          <w:b w:val="false"/>
          <w:i w:val="false"/>
          <w:sz w:val="20"/>
        </w:rPr>
        <w:t>而另一方面的话就是AI的叙事其实它也不是那么完美的，为什么呢？因为任何一个科技革命或者说任何一个技术周期性，它都可以分成两个阶段。一个阶段是0到1，这0到1的话就是主题。另外一个阶段就是一到M1到M的话就是商业化的应用的落地商业化的阶段。现在很多投资者他形成了一个认知上的误区，这个误区就是觉得从0到1，比如说AI从现在0到1跨越到一到M他是个非常顺畅的过程。但是像2000年科幻泡沫破裂，15年6月份移动互联网股灾，甚至包括二年八月份的新能源行情的暴跌。这个都告诉我们科技主线，科技主题，从0到1的主题行情跨越到一到N的主线行情，它基本上都会出现一个巨大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10:54</w:t>
      </w:r>
    </w:p>
    <w:p>
      <w:r>
        <w:rPr>
          <w:rFonts w:ascii="等线(中文正文)" w:hAnsi="等线(中文正文)" w:cs="等线(中文正文)" w:eastAsia="等线(中文正文)"/>
          <w:b w:val="false"/>
          <w:i w:val="false"/>
          <w:sz w:val="20"/>
        </w:rPr>
        <w:t>那为什么会出现这种冲击呢？因为几乎所有几乎每一个人技术革命在实现大规模商业化之前，他都会遭遇一个所谓的资本逻辑和商业模型的悖论。这怎么说呢？就是以当前的算价格为例，以当前的算力价格为例。资本逻辑下要求算力价格持续维持高位，以确保前期大量的算力基建的资本开支能够得到足够的RV的回报。在所以资本逻辑下算价格它是下不去的。但商业模型商业模型或者说商业的逻辑，他又需要算力价格的明显回落，从而实现AI的一个大规模的商业化。这里面的资本逻辑和商业模型就会出现悖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而这个悖论在现在越来越尖锐。由于算力价格居高不下，这个就导致现在大规模AI商业化应用。他被拖慢了。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类似的这种悖论，历史上来看是如何解决的呢？历史上基本上都会伴随着市场的暴跌，然后解决这个悖论的。为什么？因为比如说像你那个科网泡沫时候的思科为例，那思科在科网泡沫的时候暴跌了大概80%左右。那么新的资本就会以脚踝上的价格把这四颗这块资产给买进去。但类似的资产能买进去，那对于新的资本来说，它就可以把那个价格，比如说算力价格打的很低，因为它整个ROE模型能够跑通了。同时随着商品价格回落的话，整个AI商业化应用的这种商业模型也能跑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所以当前的资本逻辑和商业模型的悖论，它注定AI在某一个时间点它会出现像2000年科网泡沫破裂，在15年股灾或者是二年八月份新能源大跌的这种大幅调整，一把这种悖论给解决掉。这也就意味着虽然当前AI在极致抱团是抱团，我们在心里面其实都可以有个判断。那这个判断是什么呢？这个判断就是AI这种抱团他是在或者说AI这种抱团在最终实现商业化大规模商业化又落地之前，他一定会遭一波大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这是第二点，就是我们在做一个总结，简单总结一下就是虽然二季度AI集资报酬请关注公众号思维纪要社，更多纪要请加V西安20210130。背后的原因是因为传统经济基本面不太行，但AI资本开始的基本面很强。但是我们一直判断传统经济并没有那么差，而NIC叙事也其实并没有那么完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14:02</w:t>
      </w:r>
    </w:p>
    <w:p>
      <w:r>
        <w:rPr>
          <w:rFonts w:ascii="等线(中文正文)" w:hAnsi="等线(中文正文)" w:cs="等线(中文正文)" w:eastAsia="等线(中文正文)"/>
          <w:b w:val="false"/>
          <w:i w:val="false"/>
          <w:sz w:val="20"/>
        </w:rPr>
        <w:t>这种这种极致的风格，它在什么时候会出现一个反转呢？这个契机是什么呢？这个契机往往是流动性收紧。我们看了一些历史数据，我们做了一个我们做了一个指标。这个指标的话就是股价高于200天均线的成分股的占比那这个数据和上证指数基本上是同涨同跌的。但是在某些情况下它也会出现分化。而当出现急剧分化以后，如果遭遇流动性的拐点，那么这种极致抱团的行情，基本上都会出现一个风格切换，或者说出现一个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那么当前在A股当中，已经差不多是接近一年的时间，接近一年的时间就股价高于200天均线的成分股占比，它和上证指数出现了非常严重的接近一年的分化。一旦市场的流动性环境出现拐点的话，那么这种极致行情也会迎来反转。而这种所谓的流动性拐点的话，就是我们在之前报告里面提示的，就是这次不一样的警惕美债利率高位。就当前美债利率高位有可能会导致那个风格的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我们这里面先讲一下为什么美债利率会维持在相对高位。它其实有且只有一个原因，就是美伊冲突，然后美国打了伊朗，但是又没有打赢伊朗，这会导致两个严重的恶果。那第一个恶果是什么呢？第一个恶果就是霍尔木兹海峡被封锁，带来或者说导致了高油价、高通胀、美债高利率，这是第一个。第二个的话就是美国连伊朗都搞不定，那这个就使得全球投资者，尤其像日本和土耳其对美债失去信心，而抛售美债，也导致美债利率高位。而当前即便特朗普他可我们认为即便特朗普他，那市场也不会变好。因为我们在路演的过程当中，发现很多投资者有这样一个认知，就是觉得只要特朗普克，那一切都会好起来的。但是我们认为这一次即便特朗普开口，那美债利率也很难下去，为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其实也是刚才讲到了两个恶果。第一个就是即便特朗普他走但现在霍尔木兹海峡的管理权事实上已经移交到了伊朗手中。那这也就意味着伊朗可以随时封闭霍尔木兹海峡。即便未来60天霍尔木兹海峡重新通航，全球主要国家也会大量的去进行石油补库，那这就会导致石油的价格持续维持在高位。那高油价、高通胀、美债高利率这样一个负向螺旋其实并没有被解除的那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另一方面，当前特朗普就签署了这个所谓的卖国求荣的协议。但签署了这个协议以后，反而美国向全球明确发出了一个信号，就是美国在中东地区他已经不能用极致的暴力集的武力来维持它在中东地区的一个地缘统治力。那这种地缘统治力的彻底性的但彻底性的出现了一个衰退，那反而能够反而会导致全球投资者进一步对美债失去信心，这也就意味着美债利率还有可能会继续维持在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而美债利率持续维持在高位，那会带来可能两个结果。第一个结果的话就是未来一个月内美债利率持续高位。那它可能会导致像全球成长风格，它的估值，甚至包括它的基本面，就是资本开支预期都会受到一个很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18:09</w:t>
      </w:r>
    </w:p>
    <w:p>
      <w:r>
        <w:rPr>
          <w:rFonts w:ascii="等线(中文正文)" w:hAnsi="等线(中文正文)" w:cs="等线(中文正文)" w:eastAsia="等线(中文正文)"/>
          <w:b w:val="false"/>
          <w:i w:val="false"/>
          <w:sz w:val="20"/>
        </w:rPr>
        <w:t>而另一个方面，现在美债利率高位还有两个风暴眼。第一个风暴眼的话就是以色列，有可能以色列它会导致中东局势进一步升级。如果中这种中东局势升级，它钥匙其实并不掌握在美国手中，而是掌握在以色列和伊朗手中。那这个风暴影如果爆发，那中东局势升级，油价继续跳涨，导致美债利率明显跳升，那可能会导致市场发生流动性冲击。第二风暴眼的话，就当前日元贬值压力很大。如果后续日本央行再次选择抛售美债去维稳日元汇率的话，那那也可能会导致美债利率快速跳升，导致流动性冲击。这种不确定性还有可能会导致二季度的极致的风格抱团，极致的科技抱团行情，在三季度的时候出现一个明显的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所以当前我们的结论是什么呢？我们的结论的话就是还是要回到那个牛市杠0AI加涨价。那么在整个三季度或者说下半年，我们建议市场或者说投资者要进行一个风格的再平衡。对于成长风格投资者，我们要做好但我们要做好准备，就是要承受AI它的波动与中书明显的扩张。对于价值风格投资者，我们可以布局两个方向，一个是继续布局PPI链条的，像化工新能源的投资机会。另外一个就是可以提前布局CPI链条的，像地产股，它潜在的反转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这个就是我们本周一周路演总结，以及对未来的一个展望的一个简单的汇报。然后如果各位投资者朋友对我们相我们的观点感兴趣的话，也可以和我们约线下路演，或者是和我们通过微信做进一步的沟通，谢谢。最后还是祝各位投资者朋友马年继续投资竞争长虹。本周我们的汇报就先到这里面，谢谢，汇报完毕，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E6636BB100BBAFBB4581D91E6DDB85246FC8BE0C937DDDB9EAE4463F44DFE5DA0EFB9DEC495BE3D4A81AF7420E1F40118369D4C3FF2B28BB52B6DC7D560DCEC3B536635</vt:lpwstr>
  </property>
</Properties>
</file>