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方正房地产&amp;建材 - 2026中期策略汇报 260615_导读</w:t>
      </w:r>
    </w:p>
    <w:p>
      <w:pPr>
        <w:pStyle w:val="a0"/>
        <w:jc w:val="center"/>
      </w:pPr>
      <w:r>
        <w:t>2026年06月15日 21:55</w:t>
      </w:r>
    </w:p>
    <w:p>
      <w:pPr>
        <w:pStyle w:val="a7"/>
      </w:pPr>
      <w:r>
        <w:t>关键词</w:t>
      </w:r>
    </w:p>
    <w:p>
      <w:r>
        <w:rPr>
          <w:rFonts w:ascii="等线(中文正文)" w:hAnsi="等线(中文正文)" w:cs="等线(中文正文)" w:eastAsia="等线(中文正文)"/>
          <w:b w:val="false"/>
          <w:i w:val="false"/>
          <w:sz w:val="20"/>
        </w:rPr>
        <w:t xml:space="preserve">地产行业 见底 一线城市 二手房价格 二线城市 库存 修复 央企 投资策略 价格端 信用端 新开工 竣工面积 开发资金 结构性支撑 市场底部 分化 供给端 销售面积 销售额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会议组织者首先欢迎参会者加入电话会议，并提醒输入密码和注意警告，随后确认参会者已成功加入会议，多次强调会议即将开始，请大家稍等，并对参与者的参与表示感谢。会议内容主要围绕房地产行业，探讨了地产周期见底、改善的可持续性以及后续市场修复弹性，并给出了投资策略的建议，强调了核心城市的优质地块和央企在当前市场环境下的重要性。最后，会议强调了参与者的纪律，不得录音、制作纪要、转发、转载、传播、复制、编辑或修改会议内容，并警告违反规定的法律后果。</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方正证券电话会议：专业客户参与及合规声明</w:t>
      </w:r>
    </w:p>
    <w:p>
      <w:r>
        <w:rPr>
          <w:rFonts w:ascii="等线(中文正文)" w:hAnsi="等线(中文正文)" w:cs="等线(中文正文)" w:eastAsia="等线(中文正文)"/>
          <w:b w:val="false"/>
          <w:i w:val="false"/>
          <w:sz w:val="20"/>
        </w:rPr>
        <w:t>会议欢迎专业投资机构客户和第三方专家参与，强调内容仅反映个人观点，不构成投资建议。会议严格遵守监管规定，禁止未经授权的录音、传播等行为，保障信息合规性，感谢参与者理解与支持。</w:t>
      </w:r>
    </w:p>
    <w:p>
      <w:r>
        <w:rPr>
          <w:rFonts w:ascii="等线(中文正文)" w:hAnsi="等线(中文正文)" w:cs="等线(中文正文)" w:eastAsia="等线(中文正文)"/>
          <w:b w:val="false"/>
          <w:i w:val="false"/>
          <w:sz w:val="20"/>
        </w:rPr>
        <w:t/>
      </w:r>
    </w:p>
    <w:p>
      <w:pPr>
        <w:pStyle w:val="ab"/>
        <w:numPr>
          <w:numId w:val="2"/>
        </w:numPr>
      </w:pPr>
      <w:r>
        <w:t>13:42 地产修复周期见底与后续弹性分析</w:t>
      </w:r>
    </w:p>
    <w:p>
      <w:r>
        <w:rPr>
          <w:rFonts w:ascii="等线(中文正文)" w:hAnsi="等线(中文正文)" w:cs="等线(中文正文)" w:eastAsia="等线(中文正文)"/>
          <w:b w:val="false"/>
          <w:i w:val="false"/>
          <w:sz w:val="20"/>
        </w:rPr>
        <w:t>报告围绕地产行业中期策略，探讨了地产周期是否见底、改善是否可持续及后续市场弹性。指出一线城市已见底，核心二线城市接近见底，全国仍处于左侧。分析了持续性改善的三大维度，并预测市场将呈现L型底部温和回暖，而非V型反转。投资建议转向买基金拿地的央企。</w:t>
      </w:r>
    </w:p>
    <w:p>
      <w:r>
        <w:rPr>
          <w:rFonts w:ascii="等线(中文正文)" w:hAnsi="等线(中文正文)" w:cs="等线(中文正文)" w:eastAsia="等线(中文正文)"/>
          <w:b w:val="false"/>
          <w:i w:val="false"/>
          <w:sz w:val="20"/>
        </w:rPr>
        <w:t/>
      </w:r>
    </w:p>
    <w:p>
      <w:pPr>
        <w:pStyle w:val="ab"/>
        <w:numPr>
          <w:numId w:val="3"/>
        </w:numPr>
      </w:pPr>
      <w:r>
        <w:t>16:32 房地产市场现状与城市分化趋势分析</w:t>
      </w:r>
    </w:p>
    <w:p>
      <w:r>
        <w:rPr>
          <w:rFonts w:ascii="等线(中文正文)" w:hAnsi="等线(中文正文)" w:cs="等线(中文正文)" w:eastAsia="等线(中文正文)"/>
          <w:b w:val="false"/>
          <w:i w:val="false"/>
          <w:sz w:val="20"/>
        </w:rPr>
        <w:t>对话深入分析了房地产市场在一线城市、二线城市以及全国范围内的现状，指出一线城市二手房价格已见底，新房价格呈现结构性修复；二线城市表现较好，全国市场整体处于左侧。库存端待售面积下降，价格端一线、二线、三线城市环比数据呈现差异化趋势，表明市场正在逐步企稳。信用端显示居民加杠杆意愿较弱，本轮修复不依赖旧模式，而是价格超跌后的企稳和供需平衡。行业分化明显，央企逆势扩张，民企持续承压，央企凭借稳健财务和优质布局实现市占率提升。</w:t>
      </w:r>
    </w:p>
    <w:p>
      <w:r>
        <w:rPr>
          <w:rFonts w:ascii="等线(中文正文)" w:hAnsi="等线(中文正文)" w:cs="等线(中文正文)" w:eastAsia="等线(中文正文)"/>
          <w:b w:val="false"/>
          <w:i w:val="false"/>
          <w:sz w:val="20"/>
        </w:rPr>
        <w:t/>
      </w:r>
    </w:p>
    <w:p>
      <w:pPr>
        <w:pStyle w:val="ab"/>
        <w:numPr>
          <w:numId w:val="4"/>
        </w:numPr>
      </w:pPr>
      <w:r>
        <w:t>22:03 二线城市房地产市场见底与全国趋势分析</w:t>
      </w:r>
    </w:p>
    <w:p>
      <w:r>
        <w:rPr>
          <w:rFonts w:ascii="等线(中文正文)" w:hAnsi="等线(中文正文)" w:cs="等线(中文正文)" w:eastAsia="等线(中文正文)"/>
          <w:b w:val="false"/>
          <w:i w:val="false"/>
          <w:sz w:val="20"/>
        </w:rPr>
        <w:t>对话分析了二线城市新房和二手房价格环比趋势，指出二线城市经济见底，核心城市底部已现，但全国层面仍处于左侧。供给端指标显示行业深度收缩，房企扩表意愿未恢复。判断本轮修复持续性关键在于二手房挂牌量下降、新房库存改善及弱信贷环境下的需求结构承接。核心城市业主预期修复，未出现价格企稳后挂牌量大幅上升的负反馈。</w:t>
      </w:r>
    </w:p>
    <w:p>
      <w:r>
        <w:rPr>
          <w:rFonts w:ascii="等线(中文正文)" w:hAnsi="等线(中文正文)" w:cs="等线(中文正文)" w:eastAsia="等线(中文正文)"/>
          <w:b w:val="false"/>
          <w:i w:val="false"/>
          <w:sz w:val="20"/>
        </w:rPr>
        <w:t/>
      </w:r>
    </w:p>
    <w:p>
      <w:pPr>
        <w:pStyle w:val="ab"/>
        <w:numPr>
          <w:numId w:val="5"/>
        </w:numPr>
      </w:pPr>
      <w:r>
        <w:t>25:37 房地产市场修复：库存改善与需求哑铃化</w:t>
      </w:r>
    </w:p>
    <w:p>
      <w:r>
        <w:rPr>
          <w:rFonts w:ascii="等线(中文正文)" w:hAnsi="等线(中文正文)" w:cs="等线(中文正文)" w:eastAsia="等线(中文正文)"/>
          <w:b w:val="false"/>
          <w:i w:val="false"/>
          <w:sz w:val="20"/>
        </w:rPr>
        <w:t>对话讨论了房地产市场库存持续改善和需求哑铃化的特点。新房库存下降，供需关系边际改善，支撑市场修复。需求端呈现刚需与豪宅两端修复的哑铃状，不依赖传统商业银行按揭，公积金贷款政策放宽缓解融资约束，推动市场弱复苏。</w:t>
      </w:r>
    </w:p>
    <w:p>
      <w:r>
        <w:rPr>
          <w:rFonts w:ascii="等线(中文正文)" w:hAnsi="等线(中文正文)" w:cs="等线(中文正文)" w:eastAsia="等线(中文正文)"/>
          <w:b w:val="false"/>
          <w:i w:val="false"/>
          <w:sz w:val="20"/>
        </w:rPr>
        <w:t/>
      </w:r>
    </w:p>
    <w:p>
      <w:pPr>
        <w:pStyle w:val="ab"/>
        <w:numPr>
          <w:numId w:val="6"/>
        </w:numPr>
      </w:pPr>
      <w:r>
        <w:t>29:18 房地产市场底部企稳与温和回升分析</w:t>
      </w:r>
    </w:p>
    <w:p>
      <w:r>
        <w:rPr>
          <w:rFonts w:ascii="等线(中文正文)" w:hAnsi="等线(中文正文)" w:cs="等线(中文正文)" w:eastAsia="等线(中文正文)"/>
          <w:b w:val="false"/>
          <w:i w:val="false"/>
          <w:sz w:val="20"/>
        </w:rPr>
        <w:t>对话深入探讨了房地产市场底部企稳后的走势，强调了居民收入增速、信用环境、政策目标等核心因素对房价的影响。指出当前处于信用修复而非扩张周期，政策转向控增量、稳市场，预示房价不具备全面上涨的基础。基于日本经验，未来市场表现为一线核心区域价格率先企稳，二线跟随，全国低能级城市分化，弹性有限。</w:t>
      </w:r>
    </w:p>
    <w:p>
      <w:r>
        <w:rPr>
          <w:rFonts w:ascii="等线(中文正文)" w:hAnsi="等线(中文正文)" w:cs="等线(中文正文)" w:eastAsia="等线(中文正文)"/>
          <w:b w:val="false"/>
          <w:i w:val="false"/>
          <w:sz w:val="20"/>
        </w:rPr>
        <w:t/>
      </w:r>
    </w:p>
    <w:p>
      <w:pPr>
        <w:pStyle w:val="ab"/>
        <w:numPr>
          <w:numId w:val="7"/>
        </w:numPr>
      </w:pPr>
      <w:r>
        <w:t>34:34 地产投资策略：聚焦央企拿地与核心城市修复</w:t>
      </w:r>
    </w:p>
    <w:p>
      <w:r>
        <w:rPr>
          <w:rFonts w:ascii="等线(中文正文)" w:hAnsi="等线(中文正文)" w:cs="等线(中文正文)" w:eastAsia="等线(中文正文)"/>
          <w:b w:val="false"/>
          <w:i w:val="false"/>
          <w:sz w:val="20"/>
        </w:rPr>
        <w:t>当前地产行业进入总量摸底、结构分化、存量主导新阶段，投资主线转向买基金拿地的央企，因其具备融资成本低、信用强等优势，能有效承接行业出清后的再分配。核心城市优质地块修复确定，央企在核心城市布局深，融资能力强，成为优选。策略强调选择融资能力强、核心城市布局深的央企，如华人置地、张氏口等，关注其毛利率改善与项目安全链保障。地产修复呈L型底部企稳，温和向上，而非V型反转，优质房企优于高杠杆房企，核心城市改善型产品成关注焦点。</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他首先欢迎与会者并提醒他们输入参会密码以加入进门财经电话会议系统。随后，他确认会议已成功召开，感谢大家的参与并提醒会议即将开始，需稍候。会议主要探讨地产市场的核心问题，包括修复周期是否见底、改善是否可持续、后续弹性是否充足等。他指出，一线城市和核心二线城市地产已接近底部，但全国市场仍处于左侧阶段。修复的持续性依赖于价格企稳、库存改善及需求结构变化，强调本轮修复不依赖强信用扩张。对于未来市场弹性，他预计呈L型底部温和向上走势，建议投资策略从博弈政策转向购买优质土地的央企。最后，他总结指出会议旨在探讨地产市场的新均衡，强调在风险出清后投资优质地产是当前的核心策略。</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问：地产周期是否见底了，以及不同能级城市见底的节奏有何差异？小阳春以来的地产改善是否具备可持续性？</w:t>
      </w:r>
    </w:p>
    <w:p>
      <w:r>
        <w:rPr>
          <w:rFonts w:ascii="等线(中文正文)" w:hAnsi="等线(中文正文)" w:cs="等线(中文正文)" w:eastAsia="等线(中文正文)"/>
          <w:b w:val="false"/>
          <w:i w:val="false"/>
          <w:sz w:val="20"/>
        </w:rPr>
        <w:t>发言人1 答：根据价格端的线索，一线城市新建商品住宅价格已经率先转正，二手房价格环比上涨0.4%，而二线和三线城市的新房环比降幅收窄，表明一线城市的二手房市场已经呈现企稳信号，二线和三线城市的修复趋势也逐渐明显。价格端数据显示一线城市二手房价格持续正增长，二线和三线城市跌幅收窄，这表明自小阳春以来的地产改善具有一定可持续性，但是否能持续还需观察其他指标。</w:t>
      </w:r>
    </w:p>
    <w:p>
      <w:r>
        <w:rPr>
          <w:rFonts w:ascii="等线(中文正文)" w:hAnsi="等线(中文正文)" w:cs="等线(中文正文)" w:eastAsia="等线(中文正文)"/>
          <w:b w:val="false"/>
          <w:i w:val="false"/>
          <w:sz w:val="20"/>
        </w:rPr>
        <w:t/>
      </w:r>
    </w:p>
    <w:p>
      <w:pPr>
        <w:pStyle w:val="ab"/>
      </w:pPr>
      <w:r>
        <w:t>发言人1 问：后续市场修复具备何种弹性？是V型反转还是L型底部企稳？</w:t>
      </w:r>
    </w:p>
    <w:p>
      <w:r>
        <w:rPr>
          <w:rFonts w:ascii="等线(中文正文)" w:hAnsi="等线(中文正文)" w:cs="等线(中文正文)" w:eastAsia="等线(中文正文)"/>
          <w:b w:val="false"/>
          <w:i w:val="false"/>
          <w:sz w:val="20"/>
        </w:rPr>
        <w:t>发言人1 答：库存端数据显示待售面积在下降，特别是四月末已完工未出售的现房库存同比出现下降，预示着市场修复具备一定的弹性，可能表现为L型底部企稳。</w:t>
      </w:r>
    </w:p>
    <w:p>
      <w:r>
        <w:rPr>
          <w:rFonts w:ascii="等线(中文正文)" w:hAnsi="等线(中文正文)" w:cs="等线(中文正文)" w:eastAsia="等线(中文正文)"/>
          <w:b w:val="false"/>
          <w:i w:val="false"/>
          <w:sz w:val="20"/>
        </w:rPr>
        <w:t/>
      </w:r>
    </w:p>
    <w:p>
      <w:pPr>
        <w:pStyle w:val="ab"/>
      </w:pPr>
      <w:r>
        <w:t>发言人1 问：居民加杠杆意愿及本轮修复的特点是什么？</w:t>
      </w:r>
    </w:p>
    <w:p>
      <w:r>
        <w:rPr>
          <w:rFonts w:ascii="等线(中文正文)" w:hAnsi="等线(中文正文)" w:cs="等线(中文正文)" w:eastAsia="等线(中文正文)"/>
          <w:b w:val="false"/>
          <w:i w:val="false"/>
          <w:sz w:val="20"/>
        </w:rPr>
        <w:t>发言人1 答：本轮修复中，居民加杠杆意愿较弱，居民住户贷款减少且以短期贷款为主，个人住房按揭余额同比有所下降，本轮修复性质并非强信用扩张驱动，而是价格超跌后的企稳和供需平衡。</w:t>
      </w:r>
    </w:p>
    <w:p>
      <w:r>
        <w:rPr>
          <w:rFonts w:ascii="等线(中文正文)" w:hAnsi="等线(中文正文)" w:cs="等线(中文正文)" w:eastAsia="等线(中文正文)"/>
          <w:b w:val="false"/>
          <w:i w:val="false"/>
          <w:sz w:val="20"/>
        </w:rPr>
        <w:t/>
      </w:r>
    </w:p>
    <w:p>
      <w:pPr>
        <w:pStyle w:val="ab"/>
      </w:pPr>
      <w:r>
        <w:t>发言人1 问：如何判断地产行业是否已见底？</w:t>
      </w:r>
    </w:p>
    <w:p>
      <w:r>
        <w:rPr>
          <w:rFonts w:ascii="等线(中文正文)" w:hAnsi="等线(中文正文)" w:cs="等线(中文正文)" w:eastAsia="等线(中文正文)"/>
          <w:b w:val="false"/>
          <w:i w:val="false"/>
          <w:sz w:val="20"/>
        </w:rPr>
        <w:t>发言人1 答：判断地产行业是否见底需要考虑城市能级和一手房、二手房的不同情况。目前的核心结论是一线城市已见底，二线城市修复明显，但全国整体仍在左侧调整阶段。</w:t>
      </w:r>
    </w:p>
    <w:p>
      <w:r>
        <w:rPr>
          <w:rFonts w:ascii="等线(中文正文)" w:hAnsi="等线(中文正文)" w:cs="等线(中文正文)" w:eastAsia="等线(中文正文)"/>
          <w:b w:val="false"/>
          <w:i w:val="false"/>
          <w:sz w:val="20"/>
        </w:rPr>
        <w:t/>
      </w:r>
    </w:p>
    <w:p>
      <w:pPr>
        <w:pStyle w:val="ab"/>
      </w:pPr>
      <w:r>
        <w:t>发言人1 问：为什么将二手房作为判断市场底部的主要依据？一线城市新房市场的修复情况如何？</w:t>
      </w:r>
    </w:p>
    <w:p>
      <w:r>
        <w:rPr>
          <w:rFonts w:ascii="等线(中文正文)" w:hAnsi="等线(中文正文)" w:cs="等线(中文正文)" w:eastAsia="等线(中文正文)"/>
          <w:b w:val="false"/>
          <w:i w:val="false"/>
          <w:sz w:val="20"/>
        </w:rPr>
        <w:t>发言人1 答：二手房成交价格更能反映市场真实的成交节奏和价格信号，相比新房更不受限价供应节奏和产品结构扰动的影响。一线城市二手房价格已连续多月保持正增长，表明一线城市的二手房市场正从以价换量阶段转向低价房源消化后的价格边际企稳阶段。一线城市新房价格环比虽有修复，但结构性信号更为明显。部分一线城市的核心区域由于改善性产品和优质供给增加，导致新房价格逐渐回正，而并非全面强势。</w:t>
      </w:r>
    </w:p>
    <w:p>
      <w:r>
        <w:rPr>
          <w:rFonts w:ascii="等线(中文正文)" w:hAnsi="等线(中文正文)" w:cs="等线(中文正文)" w:eastAsia="等线(中文正文)"/>
          <w:b w:val="false"/>
          <w:i w:val="false"/>
          <w:sz w:val="20"/>
        </w:rPr>
        <w:t/>
      </w:r>
    </w:p>
    <w:p>
      <w:pPr>
        <w:pStyle w:val="ab"/>
      </w:pPr>
      <w:r>
        <w:t>发言人1 问：房企销售分化情况如何？</w:t>
      </w:r>
    </w:p>
    <w:p>
      <w:r>
        <w:rPr>
          <w:rFonts w:ascii="等线(中文正文)" w:hAnsi="等线(中文正文)" w:cs="等线(中文正文)" w:eastAsia="等线(中文正文)"/>
          <w:b w:val="false"/>
          <w:i w:val="false"/>
          <w:sz w:val="20"/>
        </w:rPr>
        <w:t>发言人1 答：房企销售数据分化明显，重点房企中央企如中海、招商、华润等实现逆势扩张，同比增长较快，而民企和其他混合所有制企业则面临较大压力，整体行业仍处于分化状态。</w:t>
      </w:r>
    </w:p>
    <w:p>
      <w:r>
        <w:rPr>
          <w:rFonts w:ascii="等线(中文正文)" w:hAnsi="等线(中文正文)" w:cs="等线(中文正文)" w:eastAsia="等线(中文正文)"/>
          <w:b w:val="false"/>
          <w:i w:val="false"/>
          <w:sz w:val="20"/>
        </w:rPr>
        <w:t/>
      </w:r>
    </w:p>
    <w:p>
      <w:pPr>
        <w:pStyle w:val="ab"/>
      </w:pPr>
      <w:r>
        <w:t>发言人1 问：二线城市房地产市场现状及判断？</w:t>
      </w:r>
    </w:p>
    <w:p>
      <w:r>
        <w:rPr>
          <w:rFonts w:ascii="等线(中文正文)" w:hAnsi="等线(中文正文)" w:cs="等线(中文正文)" w:eastAsia="等线(中文正文)"/>
          <w:b w:val="false"/>
          <w:i w:val="false"/>
          <w:sz w:val="20"/>
        </w:rPr>
        <w:t>发言人1 答：四月份二线城市新房和二手房价格环比降幅均有所收窄，未全面回正，但下跌速度放缓，判断二线城市的见底核心路径是活跃板优于一线城市并领先于全国总量，同时重点城市内部也存在明显分化。</w:t>
      </w:r>
    </w:p>
    <w:p>
      <w:r>
        <w:rPr>
          <w:rFonts w:ascii="等线(中文正文)" w:hAnsi="等线(中文正文)" w:cs="等线(中文正文)" w:eastAsia="等线(中文正文)"/>
          <w:b w:val="false"/>
          <w:i w:val="false"/>
          <w:sz w:val="20"/>
        </w:rPr>
        <w:t/>
      </w:r>
    </w:p>
    <w:p>
      <w:pPr>
        <w:pStyle w:val="ab"/>
      </w:pPr>
      <w:r>
        <w:t>发言人1 问：全国层面房地产市场的整体判断如何？</w:t>
      </w:r>
    </w:p>
    <w:p>
      <w:r>
        <w:rPr>
          <w:rFonts w:ascii="等线(中文正文)" w:hAnsi="等线(中文正文)" w:cs="等线(中文正文)" w:eastAsia="等线(中文正文)"/>
          <w:b w:val="false"/>
          <w:i w:val="false"/>
          <w:sz w:val="20"/>
        </w:rPr>
        <w:t>发言人1 答：全国整体上仍在调整阶段，开工投资整体下降，新开工面积、竣工面积及开发到位资金均呈负增长态势，显示出全国层面的房地产市场仍在底部企稳的过程中。</w:t>
      </w:r>
    </w:p>
    <w:p>
      <w:r>
        <w:rPr>
          <w:rFonts w:ascii="等线(中文正文)" w:hAnsi="等线(中文正文)" w:cs="等线(中文正文)" w:eastAsia="等线(中文正文)"/>
          <w:b w:val="false"/>
          <w:i w:val="false"/>
          <w:sz w:val="20"/>
        </w:rPr>
        <w:t/>
      </w:r>
    </w:p>
    <w:p>
      <w:pPr>
        <w:pStyle w:val="ab"/>
      </w:pPr>
      <w:r>
        <w:t>发言人1 问：当前全国房地产市场是否已见底？</w:t>
      </w:r>
    </w:p>
    <w:p>
      <w:r>
        <w:rPr>
          <w:rFonts w:ascii="等线(中文正文)" w:hAnsi="等线(中文正文)" w:cs="等线(中文正文)" w:eastAsia="等线(中文正文)"/>
          <w:b w:val="false"/>
          <w:i w:val="false"/>
          <w:sz w:val="20"/>
        </w:rPr>
        <w:t>发言人1 答：当前全国地产价格已经在高能级城市底部率先出现，但全国整体底部仍在形成中，一线城市已进入右侧核心阶段，二线处于底部确认前夜，低能级城市和全国整体仍处于左侧。</w:t>
      </w:r>
    </w:p>
    <w:p>
      <w:r>
        <w:rPr>
          <w:rFonts w:ascii="等线(中文正文)" w:hAnsi="等线(中文正文)" w:cs="等线(中文正文)" w:eastAsia="等线(中文正文)"/>
          <w:b w:val="false"/>
          <w:i w:val="false"/>
          <w:sz w:val="20"/>
        </w:rPr>
        <w:t/>
      </w:r>
    </w:p>
    <w:p>
      <w:pPr>
        <w:pStyle w:val="ab"/>
      </w:pPr>
      <w:r>
        <w:t>发言人1 问：二手房挂牌量的情况如何？</w:t>
      </w:r>
    </w:p>
    <w:p>
      <w:r>
        <w:rPr>
          <w:rFonts w:ascii="等线(中文正文)" w:hAnsi="等线(中文正文)" w:cs="等线(中文正文)" w:eastAsia="等线(中文正文)"/>
          <w:b w:val="false"/>
          <w:i w:val="false"/>
          <w:sz w:val="20"/>
        </w:rPr>
        <w:t>发言人1 答：数据显示，北京、上海等核心二线城市的二手房挂牌量从去年高点明显下降，其中上海挂牌量较高峰时期下降接近30%，并且比年初也有所减少。这表明二手房业主预期正在修复，一线城市业主降价抛售的压力有所缓和，没有出现价格企稳后挂牌量重新放量的负反馈情况。</w:t>
      </w:r>
    </w:p>
    <w:p>
      <w:r>
        <w:rPr>
          <w:rFonts w:ascii="等线(中文正文)" w:hAnsi="等线(中文正文)" w:cs="等线(中文正文)" w:eastAsia="等线(中文正文)"/>
          <w:b w:val="false"/>
          <w:i w:val="false"/>
          <w:sz w:val="20"/>
        </w:rPr>
        <w:t/>
      </w:r>
    </w:p>
    <w:p>
      <w:pPr>
        <w:pStyle w:val="ab"/>
      </w:pPr>
      <w:r>
        <w:t>发言人1 问：新房库存状况怎样？</w:t>
      </w:r>
    </w:p>
    <w:p>
      <w:r>
        <w:rPr>
          <w:rFonts w:ascii="等线(中文正文)" w:hAnsi="等线(中文正文)" w:cs="等线(中文正文)" w:eastAsia="等线(中文正文)"/>
          <w:b w:val="false"/>
          <w:i w:val="false"/>
          <w:sz w:val="20"/>
        </w:rPr>
        <w:t>发言人1 答：4月末，商品房待售面积同比下降0.5%，三年以下的待售面积更是同比下降2.6%，销售弱化的同时供给收缩，导致新房库存压力边际下降，供需关系在逐渐改善。</w:t>
      </w:r>
    </w:p>
    <w:p>
      <w:r>
        <w:rPr>
          <w:rFonts w:ascii="等线(中文正文)" w:hAnsi="等线(中文正文)" w:cs="等线(中文正文)" w:eastAsia="等线(中文正文)"/>
          <w:b w:val="false"/>
          <w:i w:val="false"/>
          <w:sz w:val="20"/>
        </w:rPr>
        <w:t/>
      </w:r>
    </w:p>
    <w:p>
      <w:pPr>
        <w:pStyle w:val="ab"/>
      </w:pPr>
      <w:r>
        <w:t>发言人1 问：为什么本轮地产修复具有持续性？居民中长期贷款偏弱是否意味着地产修复不可持续？</w:t>
      </w:r>
    </w:p>
    <w:p>
      <w:r>
        <w:rPr>
          <w:rFonts w:ascii="等线(中文正文)" w:hAnsi="等线(中文正文)" w:cs="等线(中文正文)" w:eastAsia="等线(中文正文)"/>
          <w:b w:val="false"/>
          <w:i w:val="false"/>
          <w:sz w:val="20"/>
        </w:rPr>
        <w:t>发言人1 答：我们通过观察三个关键指标来判断修复的持续性：二手房挂牌量是否大幅上升、新房库存是否改善以及需求结构在弱信贷环境下能否得到承接。目前数据显示，核心一二线城市的二手房挂牌量正在下降，新房库存持续改善，且需求端呈现哑铃形状，刚需和豪宅需求强劲，不依赖传统的信贷修复。本轮地产修复并不依赖于商业银行按揭贷款的改善，需求结构发生了本质性改变。刚需和豪宅两端的需求在修复，刚需通过公积金贷款得到一定缓解，而豪宅需求受制因素较少。因此，居民中长期贷款偏弱不应直接等同于地产修复不可持续。</w:t>
      </w:r>
    </w:p>
    <w:p>
      <w:r>
        <w:rPr>
          <w:rFonts w:ascii="等线(中文正文)" w:hAnsi="等线(中文正文)" w:cs="等线(中文正文)" w:eastAsia="等线(中文正文)"/>
          <w:b w:val="false"/>
          <w:i w:val="false"/>
          <w:sz w:val="20"/>
        </w:rPr>
        <w:t/>
      </w:r>
    </w:p>
    <w:p>
      <w:pPr>
        <w:pStyle w:val="ab"/>
      </w:pPr>
      <w:r>
        <w:t>发言人1 问：对于后续房地产市场的走势，如何判断？</w:t>
      </w:r>
    </w:p>
    <w:p>
      <w:r>
        <w:rPr>
          <w:rFonts w:ascii="等线(中文正文)" w:hAnsi="等线(中文正文)" w:cs="等线(中文正文)" w:eastAsia="等线(中文正文)"/>
          <w:b w:val="false"/>
          <w:i w:val="false"/>
          <w:sz w:val="20"/>
        </w:rPr>
        <w:t>发言人1 答：预计后续房地产市场将呈现L型底部企稳并温和向上的态势。核心原因在于四个因素：居民收入增速、就业收入预期、信用环境和政策目标。房价不具备全面上涨、V型反转的基础，长期涨幅将受到居民可支配收入增速的约束。</w:t>
      </w:r>
    </w:p>
    <w:p>
      <w:r>
        <w:rPr>
          <w:rFonts w:ascii="等线(中文正文)" w:hAnsi="等线(中文正文)" w:cs="等线(中文正文)" w:eastAsia="等线(中文正文)"/>
          <w:b w:val="false"/>
          <w:i w:val="false"/>
          <w:sz w:val="20"/>
        </w:rPr>
        <w:t/>
      </w:r>
    </w:p>
    <w:p>
      <w:pPr>
        <w:pStyle w:val="ab"/>
      </w:pPr>
      <w:r>
        <w:t>发言人1 问：当前的信用环境是否支持房地产市场的全面性反转？</w:t>
      </w:r>
    </w:p>
    <w:p>
      <w:r>
        <w:rPr>
          <w:rFonts w:ascii="等线(中文正文)" w:hAnsi="等线(中文正文)" w:cs="等线(中文正文)" w:eastAsia="等线(中文正文)"/>
          <w:b w:val="false"/>
          <w:i w:val="false"/>
          <w:sz w:val="20"/>
        </w:rPr>
        <w:t>发言人1 答：当前的信用环境并不支持全面性的微型反转。目前处于修复周期而非扩张周期，居民部门和金融机构都没有进入扩展状态，表现为信贷条件收紧、居民收入改善乏力以及资产价格预期未得到强化。此外，数据显示2026年1至4月社融增量同比减少，居民贷款尤其是新房贷款首付比例提高，反映出居民杠杆偏好较低。</w:t>
      </w:r>
    </w:p>
    <w:p>
      <w:r>
        <w:rPr>
          <w:rFonts w:ascii="等线(中文正文)" w:hAnsi="等线(中文正文)" w:cs="等线(中文正文)" w:eastAsia="等线(中文正文)"/>
          <w:b w:val="false"/>
          <w:i w:val="false"/>
          <w:sz w:val="20"/>
        </w:rPr>
        <w:t/>
      </w:r>
    </w:p>
    <w:p>
      <w:pPr>
        <w:pStyle w:val="ab"/>
      </w:pPr>
      <w:r>
        <w:t>发言人1 问：政策层面对于房地产市场的供给逻辑有何影响？</w:t>
      </w:r>
    </w:p>
    <w:p>
      <w:r>
        <w:rPr>
          <w:rFonts w:ascii="等线(中文正文)" w:hAnsi="等线(中文正文)" w:cs="等线(中文正文)" w:eastAsia="等线(中文正文)"/>
          <w:b w:val="false"/>
          <w:i w:val="false"/>
          <w:sz w:val="20"/>
        </w:rPr>
        <w:t>发言人1 答：政策目标转向把控增量、稳市场、控增量去库存优供给，并推动行业转向存量盘活和城市更新。具体表现为自然资源部明确要求年度新增城乡建设用地原则上不能超过盘活存量地面积，且新增建设用地主要用于保障重大项目和民生事业发展，原则上不用于经营性房地产开发。这导致今年1至4月百城住宅用地成交面积同比下降超过40%，全国土地出让金增长放缓14.3%。</w:t>
      </w:r>
    </w:p>
    <w:p>
      <w:r>
        <w:rPr>
          <w:rFonts w:ascii="等线(中文正文)" w:hAnsi="等线(中文正文)" w:cs="等线(中文正文)" w:eastAsia="等线(中文正文)"/>
          <w:b w:val="false"/>
          <w:i w:val="false"/>
          <w:sz w:val="20"/>
        </w:rPr>
        <w:t/>
      </w:r>
    </w:p>
    <w:p>
      <w:pPr>
        <w:pStyle w:val="ab"/>
      </w:pPr>
      <w:r>
        <w:t>发言人1 问：从国际经验来看，房地产市场的价格调整与信用风险出清有何关联？</w:t>
      </w:r>
    </w:p>
    <w:p>
      <w:r>
        <w:rPr>
          <w:rFonts w:ascii="等线(中文正文)" w:hAnsi="等线(中文正文)" w:cs="等线(中文正文)" w:eastAsia="等线(中文正文)"/>
          <w:b w:val="false"/>
          <w:i w:val="false"/>
          <w:sz w:val="20"/>
        </w:rPr>
        <w:t>发言人1 答：日本等国家的经验表明，房价价格上升通常需要伴随信用风险的充分出清。例如，在日本泡沫破裂后的调整阶段，贷款不良率大幅下降，地产贷款余额显著减少，同时在特定时期内通过财政赤字货币化等政策手段，实现了房价的V型反转。而当前中国的情况是信用风险边际变化，虽有万科违约事件，但整体贷款不良率尚未出现拐点，库存结构虽有改善，但全面加杠杆的阶段还未到来。</w:t>
      </w:r>
    </w:p>
    <w:p>
      <w:r>
        <w:rPr>
          <w:rFonts w:ascii="等线(中文正文)" w:hAnsi="等线(中文正文)" w:cs="等线(中文正文)" w:eastAsia="等线(中文正文)"/>
          <w:b w:val="false"/>
          <w:i w:val="false"/>
          <w:sz w:val="20"/>
        </w:rPr>
        <w:t/>
      </w:r>
    </w:p>
    <w:p>
      <w:pPr>
        <w:pStyle w:val="ab"/>
      </w:pPr>
      <w:r>
        <w:t>发言人1 问：对于一线和二线核心城市的房地产市场，现状和未来展望如何？</w:t>
      </w:r>
    </w:p>
    <w:p>
      <w:r>
        <w:rPr>
          <w:rFonts w:ascii="等线(中文正文)" w:hAnsi="等线(中文正文)" w:cs="等线(中文正文)" w:eastAsia="等线(中文正文)"/>
          <w:b w:val="false"/>
          <w:i w:val="false"/>
          <w:sz w:val="20"/>
        </w:rPr>
        <w:t>发言人1 答：一线城市已经确定见顶，二线核心城市接近底部，全国整体价格信号领先于总量，新房修复实质性强，无需大规模降价就能实现L型见底。信贷条件虽偏弱，但不足以影响L型底部企稳。然而，地产市场大概率不会出现V型反转，而是呈现L型企稳温和向上的趋势，在新环境和政策目标约束下，不具备房价大幅上涨的基础。后续应关注核心城市的定位和改善型产品的表现，优质房企将优于高杠杆房企。</w:t>
      </w:r>
    </w:p>
    <w:p>
      <w:r>
        <w:rPr>
          <w:rFonts w:ascii="等线(中文正文)" w:hAnsi="等线(中文正文)" w:cs="等线(中文正文)" w:eastAsia="等线(中文正文)"/>
          <w:b w:val="false"/>
          <w:i w:val="false"/>
          <w:sz w:val="20"/>
        </w:rPr>
        <w:t/>
      </w:r>
    </w:p>
    <w:p>
      <w:pPr>
        <w:pStyle w:val="ab"/>
      </w:pPr>
      <w:r>
        <w:t>发言人1 问：当前房地产行业的投资策略应该关注哪些方面？</w:t>
      </w:r>
    </w:p>
    <w:p>
      <w:r>
        <w:rPr>
          <w:rFonts w:ascii="等线(中文正文)" w:hAnsi="等线(中文正文)" w:cs="等线(中文正文)" w:eastAsia="等线(中文正文)"/>
          <w:b w:val="false"/>
          <w:i w:val="false"/>
          <w:sz w:val="20"/>
        </w:rPr>
        <w:t>发言人1 答：在当前总量摸底、结构分化、存量主导的新阶段，投资策略的关键在于优质土地的获取能力以及市占率的提升。市场主线已从博弈政策转向购买具有优质土地资源、资产负债表健康且具备扩表意愿的央企。选股标准包括优质土地储备丰富、核心城市布局深度、拥有基金拿地优势等，因此最值得关注的是那些能够实现阿尔法收益的央企地产企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2026-06-15T14:02:34Z</dcterms:created>
  <dc:creator>Apache POI</dc:creator>
</cp:coreProperties>
</file>