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富国基金 波动加大，资产配置如何突围？ 260615_原文</w:t>
      </w:r>
    </w:p>
    <w:p>
      <w:pPr>
        <w:jc w:val="center"/>
      </w:pPr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2026年06月15日 21:55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11:03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请关注公众号，思维纪要社，更多纪要请加V西安20210130。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46:30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请关注公众号，思维纪要社，更多纪要请加V西安20210130。</w:t>
      </w:r>
    </w:p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2026-06-15T14:02:33Z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erty1">
    <vt:lpwstr>E6636BB100BBAFBB4581D91E6DDB88B4DFADBE0C637DDFE03A83463F44DFE5CA9EBB9DEC4359E1D4A81EE7CE2B1F40018062B4C3FC2B28285F32BC7D540DCE38B433235</vt:lpwstr>
  </property>
</Properties>
</file>