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招商证券 - 宏观周周谈：与1999年及2021年的对比 260614_导读</w:t>
      </w:r>
    </w:p>
    <w:p>
      <w:pPr>
        <w:pStyle w:val="a0"/>
        <w:jc w:val="center"/>
      </w:pPr>
      <w:r>
        <w:t>2026年06月14日 22:44</w:t>
      </w:r>
    </w:p>
    <w:p>
      <w:pPr>
        <w:pStyle w:val="a7"/>
      </w:pPr>
      <w:r>
        <w:t>关键词</w:t>
      </w:r>
    </w:p>
    <w:p>
      <w:r>
        <w:rPr>
          <w:rFonts w:ascii="等线(中文正文)" w:hAnsi="等线(中文正文)" w:cs="等线(中文正文)" w:eastAsia="等线(中文正文)"/>
          <w:b w:val="false"/>
          <w:i w:val="false"/>
          <w:sz w:val="20"/>
        </w:rPr>
        <w:t xml:space="preserve">资产价格分化 原油库存 霍尔木兹海峡 油价 通胀中枢 货币政策 PPI 欧洲央行 日本央行 美联储 资金回流 美股 黄金 科技产业 美国经济 储蓄率 财政政策 人工智能 就业 经济衰退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涵盖了本周全球经济与金融市场的多个关键议题。讨论开始于全球宏观基本面的变化、流动性环境的边际调整以及资产价格的特征，同时指出这些动态与1999年和2000年存在相似之处。随后，转向国内宏观数据的讨论，以及美伊协议进展对油价和市场情绪的影响，特别是强调了霍尔木兹海峡开放的可能性及其对全球原油市场和流动性的潜在冲击。对话还触及了中美关系、人民币国际化进展，以及中国资产可能面临的重新评估，凸显了当前全球宏观经济形势、货币政策走向与2021年的某些相似性。整体而言，这段对话深入分析了当前国际经济环境的复杂性及其对中国及全球经济的影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全球宏观形势与2021年相似性分析</w:t>
      </w:r>
    </w:p>
    <w:p>
      <w:r>
        <w:rPr>
          <w:rFonts w:ascii="等线(中文正文)" w:hAnsi="等线(中文正文)" w:cs="等线(中文正文)" w:eastAsia="等线(中文正文)"/>
          <w:b w:val="false"/>
          <w:i w:val="false"/>
          <w:sz w:val="20"/>
        </w:rPr>
        <w:t>讨论了当前全球宏观基本面、流动性变化及资产价格分化特征，指出与1999年和2021年相似。分析了霍尔木斯海峡协议对原油库存和油价的影响，强调了全球货币政策前景的不确定性。</w:t>
      </w:r>
    </w:p>
    <w:p>
      <w:r>
        <w:rPr>
          <w:rFonts w:ascii="等线(中文正文)" w:hAnsi="等线(中文正文)" w:cs="等线(中文正文)" w:eastAsia="等线(中文正文)"/>
          <w:b w:val="false"/>
          <w:i w:val="false"/>
          <w:sz w:val="20"/>
        </w:rPr>
        <w:t/>
      </w:r>
    </w:p>
    <w:p>
      <w:pPr>
        <w:pStyle w:val="ab"/>
        <w:numPr>
          <w:numId w:val="2"/>
        </w:numPr>
      </w:pPr>
      <w:r>
        <w:t>02:16 中国PPI走势与全球经济关系分析</w:t>
      </w:r>
    </w:p>
    <w:p>
      <w:r>
        <w:rPr>
          <w:rFonts w:ascii="等线(中文正文)" w:hAnsi="等线(中文正文)" w:cs="等线(中文正文)" w:eastAsia="等线(中文正文)"/>
          <w:b w:val="false"/>
          <w:i w:val="false"/>
          <w:sz w:val="20"/>
        </w:rPr>
        <w:t>讨论了中国PPI走势与全球通胀的关系，指出尽管中国通胀状态为输入型，但PPI走势与特定年份相似，未来走势受油价和供需矛盾影响。提及特朗普访华后PTA开工率回升，暗示经济困境可能短暂缓解。</w:t>
      </w:r>
    </w:p>
    <w:p>
      <w:r>
        <w:rPr>
          <w:rFonts w:ascii="等线(中文正文)" w:hAnsi="等线(中文正文)" w:cs="等线(中文正文)" w:eastAsia="等线(中文正文)"/>
          <w:b w:val="false"/>
          <w:i w:val="false"/>
          <w:sz w:val="20"/>
        </w:rPr>
        <w:t/>
      </w:r>
    </w:p>
    <w:p>
      <w:pPr>
        <w:pStyle w:val="ab"/>
        <w:numPr>
          <w:numId w:val="3"/>
        </w:numPr>
      </w:pPr>
      <w:r>
        <w:t>04:26 全球货币政策收紧与市场流动性影响分析</w:t>
      </w:r>
    </w:p>
    <w:p>
      <w:r>
        <w:rPr>
          <w:rFonts w:ascii="等线(中文正文)" w:hAnsi="等线(中文正文)" w:cs="等线(中文正文)" w:eastAsia="等线(中文正文)"/>
          <w:b w:val="false"/>
          <w:i w:val="false"/>
          <w:sz w:val="20"/>
        </w:rPr>
        <w:t>讨论了全球货币政策收紧背景下，市场流动性变化对油价及资金流向的影响。指出美伊冲突后资金回流美国，欧洲央行加息，日本可能跟进，美国边际不放松政策以防流动性流出。强调了2021年类似情况，以及今年全球流动性边际收紧的趋势，美国需保持政策紧缩以维持资金稳定。</w:t>
      </w:r>
    </w:p>
    <w:p>
      <w:r>
        <w:rPr>
          <w:rFonts w:ascii="等线(中文正文)" w:hAnsi="等线(中文正文)" w:cs="等线(中文正文)" w:eastAsia="等线(中文正文)"/>
          <w:b w:val="false"/>
          <w:i w:val="false"/>
          <w:sz w:val="20"/>
        </w:rPr>
        <w:t/>
      </w:r>
    </w:p>
    <w:p>
      <w:pPr>
        <w:pStyle w:val="ab"/>
        <w:numPr>
          <w:numId w:val="4"/>
        </w:numPr>
      </w:pPr>
      <w:r>
        <w:t>06:56 美债收益率走势与国内资金链关系分析</w:t>
      </w:r>
    </w:p>
    <w:p>
      <w:r>
        <w:rPr>
          <w:rFonts w:ascii="等线(中文正文)" w:hAnsi="等线(中文正文)" w:cs="等线(中文正文)" w:eastAsia="等线(中文正文)"/>
          <w:b w:val="false"/>
          <w:i w:val="false"/>
          <w:sz w:val="20"/>
        </w:rPr>
        <w:t>对话讨论了美债收益率走势与国内资金链变化的关系，指出2021年与当前年份美债收益率走势相似，均在3月见顶后回落，随后回升。强调了货币政策边际收紧对黄金和美股分化的影响，以及新兴产业发展对流动性分配的作用。预测短期内市场可能出现普涨，但长期将回归对AI产业的抱团趋势。</w:t>
      </w:r>
    </w:p>
    <w:p>
      <w:r>
        <w:rPr>
          <w:rFonts w:ascii="等线(中文正文)" w:hAnsi="等线(中文正文)" w:cs="等线(中文正文)" w:eastAsia="等线(中文正文)"/>
          <w:b w:val="false"/>
          <w:i w:val="false"/>
          <w:sz w:val="20"/>
        </w:rPr>
        <w:t/>
      </w:r>
    </w:p>
    <w:p>
      <w:pPr>
        <w:pStyle w:val="ab"/>
        <w:numPr>
          <w:numId w:val="5"/>
        </w:numPr>
      </w:pPr>
      <w:r>
        <w:t>12:01 AI与全球资本市场：历史周期与未来趋势分析</w:t>
      </w:r>
    </w:p>
    <w:p>
      <w:r>
        <w:rPr>
          <w:rFonts w:ascii="等线(中文正文)" w:hAnsi="等线(中文正文)" w:cs="等线(中文正文)" w:eastAsia="等线(中文正文)"/>
          <w:b w:val="false"/>
          <w:i w:val="false"/>
          <w:sz w:val="20"/>
        </w:rPr>
        <w:t>讨论了AI对全球资本市场的潜在影响，类比1999年互联网泡沫，分析美股三大股指分化走势，预测7-8月AI行情可能见顶，8-9月中期选举后市场调整，强调油价、通胀与美联储政策对市场走势的关键作用。</w:t>
      </w:r>
    </w:p>
    <w:p>
      <w:r>
        <w:rPr>
          <w:rFonts w:ascii="等线(中文正文)" w:hAnsi="等线(中文正文)" w:cs="等线(中文正文)" w:eastAsia="等线(中文正文)"/>
          <w:b w:val="false"/>
          <w:i w:val="false"/>
          <w:sz w:val="20"/>
        </w:rPr>
        <w:t/>
      </w:r>
    </w:p>
    <w:p>
      <w:pPr>
        <w:pStyle w:val="ab"/>
        <w:numPr>
          <w:numId w:val="6"/>
        </w:numPr>
      </w:pPr>
      <w:r>
        <w:t>16:14 美国经济黄灯预警：财政政策收紧可能触发衰退</w:t>
      </w:r>
    </w:p>
    <w:p>
      <w:r>
        <w:rPr>
          <w:rFonts w:ascii="等线(中文正文)" w:hAnsi="等线(中文正文)" w:cs="等线(中文正文)" w:eastAsia="等线(中文正文)"/>
          <w:b w:val="false"/>
          <w:i w:val="false"/>
          <w:sz w:val="20"/>
        </w:rPr>
        <w:t>对话探讨了美国经济面临的潜在衰退风险，指出个人储蓄率降至低位与历史上的经济衰退前兆相似，暗示财政政策的收紧可能成为经济亮红灯的关键。同时，讨论了美股估值接近历史高位，以及政治周期对经济的影响，强调了未来几年经济环境的不确定性与潜在危机。此外，分析了中东局势对油价可能带来的上行压力，及其对美国经济泡沫的刺破风险。</w:t>
      </w:r>
    </w:p>
    <w:p>
      <w:r>
        <w:rPr>
          <w:rFonts w:ascii="等线(中文正文)" w:hAnsi="等线(中文正文)" w:cs="等线(中文正文)" w:eastAsia="等线(中文正文)"/>
          <w:b w:val="false"/>
          <w:i w:val="false"/>
          <w:sz w:val="20"/>
        </w:rPr>
        <w:t/>
      </w:r>
    </w:p>
    <w:p>
      <w:pPr>
        <w:pStyle w:val="ab"/>
        <w:numPr>
          <w:numId w:val="7"/>
        </w:numPr>
      </w:pPr>
      <w:r>
        <w:t>19:31 五月出口结构分析：AI链与高端制造业强劲，传统消费品疲软</w:t>
      </w:r>
    </w:p>
    <w:p>
      <w:r>
        <w:rPr>
          <w:rFonts w:ascii="等线(中文正文)" w:hAnsi="等线(中文正文)" w:cs="等线(中文正文)" w:eastAsia="等线(中文正文)"/>
          <w:b w:val="false"/>
          <w:i w:val="false"/>
          <w:sz w:val="20"/>
        </w:rPr>
        <w:t>五月出口数据显示，AI链、高端机电与汽车链表现强劲，尤其是集成电路出口增长显著，反映出中国在科技资本开支周期中的全球地位提升。然而，传统消费品如假日商品和玩具出口疲软，表明海外居民端需求未全面复苏。目的地方面，对美出口明显反弹，东盟保持强承接能力，而欧洲需求放缓，整体呈现非美市场转向对美修复的结构性特征。</w:t>
      </w:r>
    </w:p>
    <w:p>
      <w:r>
        <w:rPr>
          <w:rFonts w:ascii="等线(中文正文)" w:hAnsi="等线(中文正文)" w:cs="等线(中文正文)" w:eastAsia="等线(中文正文)"/>
          <w:b w:val="false"/>
          <w:i w:val="false"/>
          <w:sz w:val="20"/>
        </w:rPr>
        <w:t/>
      </w:r>
    </w:p>
    <w:p>
      <w:pPr>
        <w:pStyle w:val="ab"/>
        <w:numPr>
          <w:numId w:val="8"/>
        </w:numPr>
      </w:pPr>
      <w:r>
        <w:t>30:08 外贸与内需：增速背后的真相</w:t>
      </w:r>
    </w:p>
    <w:p>
      <w:r>
        <w:rPr>
          <w:rFonts w:ascii="等线(中文正文)" w:hAnsi="等线(中文正文)" w:cs="等线(中文正文)" w:eastAsia="等线(中文正文)"/>
          <w:b w:val="false"/>
          <w:i w:val="false"/>
          <w:sz w:val="20"/>
        </w:rPr>
        <w:t>24.7%的进口增速主要由高技术产品补库和能源价格推动，而非内需回暖。出口受益于AI链条和区域再分配，但不能证明海外需求全面修复。通胀方面，CPI稳定但食品价格拖累，油价和金价支撑非食品项，服务价格季节性回落。</w:t>
      </w:r>
    </w:p>
    <w:p>
      <w:r>
        <w:rPr>
          <w:rFonts w:ascii="等线(中文正文)" w:hAnsi="等线(中文正文)" w:cs="等线(中文正文)" w:eastAsia="等线(中文正文)"/>
          <w:b w:val="false"/>
          <w:i w:val="false"/>
          <w:sz w:val="20"/>
        </w:rPr>
        <w:t/>
      </w:r>
    </w:p>
    <w:p>
      <w:pPr>
        <w:pStyle w:val="ab"/>
        <w:numPr>
          <w:numId w:val="9"/>
        </w:numPr>
      </w:pPr>
      <w:r>
        <w:t>33:02 CPI与PPI变动分析：需求温和修复，成本端推动</w:t>
      </w:r>
    </w:p>
    <w:p>
      <w:r>
        <w:rPr>
          <w:rFonts w:ascii="等线(中文正文)" w:hAnsi="等线(中文正文)" w:cs="等线(中文正文)" w:eastAsia="等线(中文正文)"/>
          <w:b w:val="false"/>
          <w:i w:val="false"/>
          <w:sz w:val="20"/>
        </w:rPr>
        <w:t>对话分析了CPI与PPI的最新数据，指出尽管CPI同比稳定，但需求修复温和，未出现强需求推动的通胀。PPI同比显著回升，主要由石化链和AI相关行业贡献，但需求全面升温迹象不明显，终端消费品价格未见显著传导。预计未来食品消费淡季及猪价拖累将影响CPI，PPI高点可能出现在三季度中期。</w:t>
      </w:r>
    </w:p>
    <w:p>
      <w:r>
        <w:rPr>
          <w:rFonts w:ascii="等线(中文正文)" w:hAnsi="等线(中文正文)" w:cs="等线(中文正文)" w:eastAsia="等线(中文正文)"/>
          <w:b w:val="false"/>
          <w:i w:val="false"/>
          <w:sz w:val="20"/>
        </w:rPr>
        <w:t/>
      </w:r>
    </w:p>
    <w:p>
      <w:pPr>
        <w:pStyle w:val="ab"/>
        <w:numPr>
          <w:numId w:val="10"/>
        </w:numPr>
      </w:pPr>
      <w:r>
        <w:t>38:20 五月金融数据揭示宽货币紧信用特征</w:t>
      </w:r>
    </w:p>
    <w:p>
      <w:r>
        <w:rPr>
          <w:rFonts w:ascii="等线(中文正文)" w:hAnsi="等线(中文正文)" w:cs="等线(中文正文)" w:eastAsia="等线(中文正文)"/>
          <w:b w:val="false"/>
          <w:i w:val="false"/>
          <w:sz w:val="20"/>
        </w:rPr>
        <w:t>五月金融数据显示，货币端宽松但信用扩张不畅，私人部门融资需求疲软。新增社融2.03万亿元，人民币贷款新增5200亿，M2同比8.6%持平，M1同比回升至5.5%。票据融资显著，企业贷款需求不强，居民贷款减少，政府债支撑作用减弱，直接融资增长。货币宽松未转化为实体部门需求，流动性充裕但转化不畅。</w:t>
      </w:r>
    </w:p>
    <w:p>
      <w:r>
        <w:rPr>
          <w:rFonts w:ascii="等线(中文正文)" w:hAnsi="等线(中文正文)" w:cs="等线(中文正文)" w:eastAsia="等线(中文正文)"/>
          <w:b w:val="false"/>
          <w:i w:val="false"/>
          <w:sz w:val="20"/>
        </w:rPr>
        <w:t/>
      </w:r>
    </w:p>
    <w:p>
      <w:pPr>
        <w:pStyle w:val="ab"/>
        <w:numPr>
          <w:numId w:val="11"/>
        </w:numPr>
      </w:pPr>
      <w:r>
        <w:t>44:02 美伊协议签署前景与市场反应</w:t>
      </w:r>
    </w:p>
    <w:p>
      <w:r>
        <w:rPr>
          <w:rFonts w:ascii="等线(中文正文)" w:hAnsi="等线(中文正文)" w:cs="等线(中文正文)" w:eastAsia="等线(中文正文)"/>
          <w:b w:val="false"/>
          <w:i w:val="false"/>
          <w:sz w:val="20"/>
        </w:rPr>
        <w:t>本周美伊局势经历大起大落，特朗普宣布取消对伊朗打击并预告协议签署，但伊朗内部意见不一，局势仍存变数。布伦特油价受此影响大幅回落至86.8美金，霍尔木兹海峡通行量暂无显著变化，未来海峡通行恢复情况将受协议签署影响。</w:t>
      </w:r>
    </w:p>
    <w:p>
      <w:r>
        <w:rPr>
          <w:rFonts w:ascii="等线(中文正文)" w:hAnsi="等线(中文正文)" w:cs="等线(中文正文)" w:eastAsia="等线(中文正文)"/>
          <w:b w:val="false"/>
          <w:i w:val="false"/>
          <w:sz w:val="20"/>
        </w:rPr>
        <w:t/>
      </w:r>
    </w:p>
    <w:p>
      <w:pPr>
        <w:pStyle w:val="ab"/>
        <w:numPr>
          <w:numId w:val="12"/>
        </w:numPr>
      </w:pPr>
      <w:r>
        <w:t>46:44 伊朗与美协议进展及地区局势分析</w:t>
      </w:r>
    </w:p>
    <w:p>
      <w:r>
        <w:rPr>
          <w:rFonts w:ascii="等线(中文正文)" w:hAnsi="等线(中文正文)" w:cs="等线(中文正文)" w:eastAsia="等线(中文正文)"/>
          <w:b w:val="false"/>
          <w:i w:val="false"/>
          <w:sz w:val="20"/>
        </w:rPr>
        <w:t>对话深入探讨了伊朗与美国之间初步协议的复杂性，涉及霍尔木兹海峡问题、核议题及地区安全，同时分析了以色列的立场与市场反应，强调了协议签署的不确定性与潜在风险，呼吁关注协议进程及欧洲两大峰会。</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首先分析了当前全球经济形势，将其与1999年和2001年进行对比，关注全球宏观基本面、流动性的边际变化及资产价格的分化特征。随后，通过罗丹博士的汇报，进一步探讨了国内宏观数据的变化。特别强调了霍尔木兹海峡开放的可能性及其对全球经济的影响，尤其是美国与伊朗协议签署的潜在作用，包括对油价、中美关系、全球资本市场的可能影响。此外，他讨论了美伊协议签署的不确定性，以及全球通胀、货币政策和资产分化的问题，指出这可能使全球宏观形势与2021年相似，特别强调了美国货币政策对全球市场的影响，并预测中国资产可能面临市场重估。整个发言重点在于全球经济、金融市场动态及地缘政治影响，强调了关注中美关系动态、全球资本流动以及美国货币政策走势的重要性。</w:t>
      </w:r>
    </w:p>
    <w:p>
      <w:r>
        <w:rPr>
          <w:rFonts w:ascii="等线(中文正文)" w:hAnsi="等线(中文正文)" w:cs="等线(中文正文)" w:eastAsia="等线(中文正文)"/>
          <w:b w:val="false"/>
          <w:i w:val="false"/>
          <w:sz w:val="20"/>
        </w:rPr>
        <w:t/>
      </w:r>
    </w:p>
    <w:p>
      <w:pPr>
        <w:pStyle w:val="a7"/>
      </w:pPr>
      <w:r>
        <w:t>要点回顾</w:t>
      </w:r>
    </w:p>
    <w:p>
      <w:pPr>
        <w:pStyle w:val="ab"/>
      </w:pPr>
      <w:r>
        <w:t>国内资金面的变化情况如何？</w:t>
      </w:r>
    </w:p>
    <w:p>
      <w:r>
        <w:rPr>
          <w:rFonts w:ascii="等线(中文正文)" w:hAnsi="等线(中文正文)" w:cs="等线(中文正文)" w:eastAsia="等线(中文正文)"/>
          <w:b w:val="false"/>
          <w:i w:val="false"/>
          <w:sz w:val="20"/>
        </w:rPr>
        <w:t>发言人1：相较于2021年，国内资金价格已经触底回升，预计下半年资金面将比4、5月份更为收紧。在货币政策边际收紧和全球流动性边际收紧的大背景下，资产价格将出现分化。</w:t>
      </w:r>
    </w:p>
    <w:p>
      <w:r>
        <w:rPr>
          <w:rFonts w:ascii="等线(中文正文)" w:hAnsi="等线(中文正文)" w:cs="等线(中文正文)" w:eastAsia="等线(中文正文)"/>
          <w:b w:val="false"/>
          <w:i w:val="false"/>
          <w:sz w:val="20"/>
        </w:rPr>
        <w:t/>
      </w:r>
    </w:p>
    <w:p>
      <w:pPr>
        <w:pStyle w:val="ab"/>
      </w:pPr>
      <w:r>
        <w:t>在霍尔木斯海峡可能开放的情况下，对全球原油库存和补库的影响是什么？</w:t>
      </w:r>
    </w:p>
    <w:p>
      <w:r>
        <w:rPr>
          <w:rFonts w:ascii="等线(中文正文)" w:hAnsi="等线(中文正文)" w:cs="等线(中文正文)" w:eastAsia="等线(中文正文)"/>
          <w:b w:val="false"/>
          <w:i w:val="false"/>
          <w:sz w:val="20"/>
        </w:rPr>
        <w:t>发言人1：如果霍尔木斯海峡很快开放，由于当前全球主要经济体的原油库存已经接近疫情前的80%分位数状态，二季度又进一步回落，那么在达成共识后，可能不会立即出现大规模补库需求。但如果库存继续消耗并在低位，补库恐慌可能会导致油价短期内回升，但未来中枢有可能会上移。</w:t>
      </w:r>
    </w:p>
    <w:p>
      <w:r>
        <w:rPr>
          <w:rFonts w:ascii="等线(中文正文)" w:hAnsi="等线(中文正文)" w:cs="等线(中文正文)" w:eastAsia="等线(中文正文)"/>
          <w:b w:val="false"/>
          <w:i w:val="false"/>
          <w:sz w:val="20"/>
        </w:rPr>
        <w:t/>
      </w:r>
    </w:p>
    <w:p>
      <w:pPr>
        <w:pStyle w:val="ab"/>
      </w:pPr>
      <w:r>
        <w:t>当前全球货币政策前景、资产分化与哪一年相似？</w:t>
      </w:r>
    </w:p>
    <w:p>
      <w:r>
        <w:rPr>
          <w:rFonts w:ascii="等线(中文正文)" w:hAnsi="等线(中文正文)" w:cs="等线(中文正文)" w:eastAsia="等线(中文正文)"/>
          <w:b w:val="false"/>
          <w:i w:val="false"/>
          <w:sz w:val="20"/>
        </w:rPr>
        <w:t>发言人1：根据目前全球宏观形势、货币政策前景及资产分化的表现，与2021年的情况非常相似，但不同于特朗普访华之后达成的共识。</w:t>
      </w:r>
    </w:p>
    <w:p>
      <w:r>
        <w:rPr>
          <w:rFonts w:ascii="等线(中文正文)" w:hAnsi="等线(中文正文)" w:cs="等线(中文正文)" w:eastAsia="等线(中文正文)"/>
          <w:b w:val="false"/>
          <w:i w:val="false"/>
          <w:sz w:val="20"/>
        </w:rPr>
        <w:t/>
      </w:r>
    </w:p>
    <w:p>
      <w:pPr>
        <w:pStyle w:val="ab"/>
      </w:pPr>
      <w:r>
        <w:t>今年PPI走势与过去有何对比？未来如何判断？</w:t>
      </w:r>
    </w:p>
    <w:p>
      <w:r>
        <w:rPr>
          <w:rFonts w:ascii="等线(中文正文)" w:hAnsi="等线(中文正文)" w:cs="等线(中文正文)" w:eastAsia="等线(中文正文)"/>
          <w:b w:val="false"/>
          <w:i w:val="false"/>
          <w:sz w:val="20"/>
        </w:rPr>
        <w:t>发言人1：今年中国的PPI走势与2020年3月至2021年3月期间相似。随着PPI翘尾因素转正，只要环比不出现负值，同比将保持强势甚至继续上行。未来PPI走势将取决于油价和供需矛盾的新变化。</w:t>
      </w:r>
    </w:p>
    <w:p>
      <w:r>
        <w:rPr>
          <w:rFonts w:ascii="等线(中文正文)" w:hAnsi="等线(中文正文)" w:cs="等线(中文正文)" w:eastAsia="等线(中文正文)"/>
          <w:b w:val="false"/>
          <w:i w:val="false"/>
          <w:sz w:val="20"/>
        </w:rPr>
        <w:t/>
      </w:r>
    </w:p>
    <w:p>
      <w:pPr>
        <w:pStyle w:val="ab"/>
      </w:pPr>
      <w:r>
        <w:t>PTA开工率回升的原因是什么？</w:t>
      </w:r>
    </w:p>
    <w:p>
      <w:r>
        <w:rPr>
          <w:rFonts w:ascii="等线(中文正文)" w:hAnsi="等线(中文正文)" w:cs="等线(中文正文)" w:eastAsia="等线(中文正文)"/>
          <w:b w:val="false"/>
          <w:i w:val="false"/>
          <w:sz w:val="20"/>
        </w:rPr>
        <w:t>发言人1：PTA开工率回升可能是因为霍尔木斯海峡通航状况有所改善，虽然美伊局势尚未完全缓和，但油价中枢并未进一步回升，且PTA供给开始恢复，这预示着在短期内可能会出现短暂的困境反转交易机会。</w:t>
      </w:r>
    </w:p>
    <w:p>
      <w:r>
        <w:rPr>
          <w:rFonts w:ascii="等线(中文正文)" w:hAnsi="等线(中文正文)" w:cs="等线(中文正文)" w:eastAsia="等线(中文正文)"/>
          <w:b w:val="false"/>
          <w:i w:val="false"/>
          <w:sz w:val="20"/>
        </w:rPr>
        <w:t/>
      </w:r>
    </w:p>
    <w:p>
      <w:pPr>
        <w:pStyle w:val="ab"/>
      </w:pPr>
      <w:r>
        <w:t>当前全球流动性状况如何？对市场有何影响？</w:t>
      </w:r>
    </w:p>
    <w:p>
      <w:r>
        <w:rPr>
          <w:rFonts w:ascii="等线(中文正文)" w:hAnsi="等线(中文正文)" w:cs="等线(中文正文)" w:eastAsia="等线(中文正文)"/>
          <w:b w:val="false"/>
          <w:i w:val="false"/>
          <w:sz w:val="20"/>
        </w:rPr>
        <w:t>发言人1：目前全球货币政策正在收紧，流动性不支持全面普涨。虽然油价中枢下移可能带来市场的短暂缓和，但不会构成持续故事。尤其在欧洲央行和日本央行可能加息的背景下，资金回流美国，流动性从美国流出的压力增大，这使得降息门槛显著提高，除非其他国家也跟随加息。</w:t>
      </w:r>
    </w:p>
    <w:p>
      <w:r>
        <w:rPr>
          <w:rFonts w:ascii="等线(中文正文)" w:hAnsi="等线(中文正文)" w:cs="等线(中文正文)" w:eastAsia="等线(中文正文)"/>
          <w:b w:val="false"/>
          <w:i w:val="false"/>
          <w:sz w:val="20"/>
        </w:rPr>
        <w:t/>
      </w:r>
    </w:p>
    <w:p>
      <w:pPr>
        <w:pStyle w:val="ab"/>
      </w:pPr>
      <w:r>
        <w:t>今年与2021年在美债收益率走势和货币政策方面有何相似之处？</w:t>
      </w:r>
    </w:p>
    <w:p>
      <w:r>
        <w:rPr>
          <w:rFonts w:ascii="等线(中文正文)" w:hAnsi="等线(中文正文)" w:cs="等线(中文正文)" w:eastAsia="等线(中文正文)"/>
          <w:b w:val="false"/>
          <w:i w:val="false"/>
          <w:sz w:val="20"/>
        </w:rPr>
        <w:t>发言人1：今年和2021年美债收益率走势相似，包括十年期与两年期利差的变化。这反映出市场对未来经济和货币政策预期的变化，也影响到国内资金链状况。</w:t>
      </w:r>
    </w:p>
    <w:p>
      <w:r>
        <w:rPr>
          <w:rFonts w:ascii="等线(中文正文)" w:hAnsi="等线(中文正文)" w:cs="等线(中文正文)" w:eastAsia="等线(中文正文)"/>
          <w:b w:val="false"/>
          <w:i w:val="false"/>
          <w:sz w:val="20"/>
        </w:rPr>
        <w:t/>
      </w:r>
    </w:p>
    <w:p>
      <w:pPr>
        <w:pStyle w:val="ab"/>
      </w:pPr>
      <w:r>
        <w:t>黄金和美股在货币政策收紧时的表现及其背后原因是什么？</w:t>
      </w:r>
    </w:p>
    <w:p>
      <w:r>
        <w:rPr>
          <w:rFonts w:ascii="等线(中文正文)" w:hAnsi="等线(中文正文)" w:cs="等线(中文正文)" w:eastAsia="等线(中文正文)"/>
          <w:b w:val="false"/>
          <w:i w:val="false"/>
          <w:sz w:val="20"/>
        </w:rPr>
        <w:t>发言人1：黄金和美股在货币政策边际收紧时可能会出现分化，因为新产业（如消费电子、新能源和AI）的成长性和确定性会吸引流动性，而内需相关的产业则可能面临流动性虹吸效应，导致市场出现分化式调整。</w:t>
      </w:r>
    </w:p>
    <w:p>
      <w:r>
        <w:rPr>
          <w:rFonts w:ascii="等线(中文正文)" w:hAnsi="等线(中文正文)" w:cs="等线(中文正文)" w:eastAsia="等线(中文正文)"/>
          <w:b w:val="false"/>
          <w:i w:val="false"/>
          <w:sz w:val="20"/>
        </w:rPr>
        <w:t/>
      </w:r>
    </w:p>
    <w:p>
      <w:pPr>
        <w:pStyle w:val="ab"/>
      </w:pPr>
      <w:r>
        <w:t>当时美国三大股指的表现是怎样的？</w:t>
      </w:r>
    </w:p>
    <w:p>
      <w:r>
        <w:rPr>
          <w:rFonts w:ascii="等线(中文正文)" w:hAnsi="等线(中文正文)" w:cs="等线(中文正文)" w:eastAsia="等线(中文正文)"/>
          <w:b w:val="false"/>
          <w:i w:val="false"/>
          <w:sz w:val="20"/>
        </w:rPr>
        <w:t>发言人1：在1999年四季度到2000年二季度期间，美国三大股指持续分化。当时纳指涨幅最大，而标普道琼斯虽然也上涨但涨幅相对较小；但在2000年3月下旬，当纳指高位回落时，标普道琼斯却出现了反弹。</w:t>
      </w:r>
    </w:p>
    <w:p>
      <w:r>
        <w:rPr>
          <w:rFonts w:ascii="等线(中文正文)" w:hAnsi="等线(中文正文)" w:cs="等线(中文正文)" w:eastAsia="等线(中文正文)"/>
          <w:b w:val="false"/>
          <w:i w:val="false"/>
          <w:sz w:val="20"/>
        </w:rPr>
        <w:t/>
      </w:r>
    </w:p>
    <w:p>
      <w:pPr>
        <w:pStyle w:val="ab"/>
      </w:pPr>
      <w:r>
        <w:t>对于未来AI行情的看法是什么？</w:t>
      </w:r>
    </w:p>
    <w:p>
      <w:r>
        <w:rPr>
          <w:rFonts w:ascii="等线(中文正文)" w:hAnsi="等线(中文正文)" w:cs="等线(中文正文)" w:eastAsia="等线(中文正文)"/>
          <w:b w:val="false"/>
          <w:i w:val="false"/>
          <w:sz w:val="20"/>
        </w:rPr>
        <w:t>发言人1：预计在7、8月份，纳指可能会继续向上冲，但在8、9月份中期选举结束后，AI行情可能结束。若全球流动性未大幅收紧（如美联储未加息），可能会有部分资金从AI转向其他机会，导致部分反弹或结构性调整。但如果油价中枢上移、通胀高企以及美联储加息，那将是全面美股见顶的信号，对国内而言也是负面消息。</w:t>
      </w:r>
    </w:p>
    <w:p>
      <w:r>
        <w:rPr>
          <w:rFonts w:ascii="等线(中文正文)" w:hAnsi="等线(中文正文)" w:cs="等线(中文正文)" w:eastAsia="等线(中文正文)"/>
          <w:b w:val="false"/>
          <w:i w:val="false"/>
          <w:sz w:val="20"/>
        </w:rPr>
        <w:t/>
      </w:r>
    </w:p>
    <w:p>
      <w:pPr>
        <w:pStyle w:val="ab"/>
      </w:pPr>
      <w:r>
        <w:t>AI对全球资本市场的影响与1999年有何相似之处？结合21年和1999年至2000年的状况，对未来市场走势有何预测？</w:t>
      </w:r>
    </w:p>
    <w:p>
      <w:r>
        <w:rPr>
          <w:rFonts w:ascii="等线(中文正文)" w:hAnsi="等线(中文正文)" w:cs="等线(中文正文)" w:eastAsia="等线(中文正文)"/>
          <w:b w:val="false"/>
          <w:i w:val="false"/>
          <w:sz w:val="20"/>
        </w:rPr>
        <w:t>发言人1：如果从AI对全球资本市场的影响来看，它与1999年的相似之处在于，现在AI所代表的科技产业方向的影响力正在增强，并可能在7月份左右形成类似纳指在2000年第一季度的状态，预示着市场可能接近见顶。如果未来一周油价担忧缓解且美联储加息预期不进一步上升，可能会迎来全面股票指数的修复。但到了8、9月份，随着AI故事可能出现负面变化，若全球流动性尚可且未因油价、通胀等因素大幅收紧，还可能出现反转和AI与CAI之间的切换。但如果货币政策持续收紧，尤其是美联储加息、油价中枢大幅上移，那么在8、9月份纳指见顶后，全球市场将出现整体调整状态。</w:t>
      </w:r>
    </w:p>
    <w:p>
      <w:r>
        <w:rPr>
          <w:rFonts w:ascii="等线(中文正文)" w:hAnsi="等线(中文正文)" w:cs="等线(中文正文)" w:eastAsia="等线(中文正文)"/>
          <w:b w:val="false"/>
          <w:i w:val="false"/>
          <w:sz w:val="20"/>
        </w:rPr>
        <w:t/>
      </w:r>
    </w:p>
    <w:p>
      <w:pPr>
        <w:pStyle w:val="ab"/>
      </w:pPr>
      <w:r>
        <w:t>当前美国经济基本面状况如何？</w:t>
      </w:r>
    </w:p>
    <w:p>
      <w:r>
        <w:rPr>
          <w:rFonts w:ascii="等线(中文正文)" w:hAnsi="等线(中文正文)" w:cs="等线(中文正文)" w:eastAsia="等线(中文正文)"/>
          <w:b w:val="false"/>
          <w:i w:val="false"/>
          <w:sz w:val="20"/>
        </w:rPr>
        <w:t>发言人1：目前美国个人储蓄率已降至2.6%，接近60年代以来第四次低点，每次储蓄率降到4%以下往往预示着美国经济衰退甚至危机。尤其在四季度美国新财年启动时，财政政策可能转向收紧，这将对经济构成负面影响，增加衰退风险。</w:t>
      </w:r>
    </w:p>
    <w:p>
      <w:r>
        <w:rPr>
          <w:rFonts w:ascii="等线(中文正文)" w:hAnsi="等线(中文正文)" w:cs="等线(中文正文)" w:eastAsia="等线(中文正文)"/>
          <w:b w:val="false"/>
          <w:i w:val="false"/>
          <w:sz w:val="20"/>
        </w:rPr>
        <w:t/>
      </w:r>
    </w:p>
    <w:p>
      <w:pPr>
        <w:pStyle w:val="ab"/>
      </w:pPr>
      <w:r>
        <w:t>对于未来美股估值及中国股市的影响有哪些看法？</w:t>
      </w:r>
    </w:p>
    <w:p>
      <w:r>
        <w:rPr>
          <w:rFonts w:ascii="等线(中文正文)" w:hAnsi="等线(中文正文)" w:cs="等线(中文正文)" w:eastAsia="等线(中文正文)"/>
          <w:b w:val="false"/>
          <w:i w:val="false"/>
          <w:sz w:val="20"/>
        </w:rPr>
        <w:t>发言人1：当前美股估值较高，与历史上的泡沫阶段接近。从长远看，美国财政状况和货币政策对中国股市的影响可能逐渐减弱。一旦美国经济和市场泡沫破灭，中国资产将迎来长期牛市，人民币国际化进程有望加速，而跨境贸易以人民币结算将减少对外汇的需求，从而可能影响中国的外汇储备和资本流动。</w:t>
      </w:r>
    </w:p>
    <w:p>
      <w:r>
        <w:rPr>
          <w:rFonts w:ascii="等线(中文正文)" w:hAnsi="等线(中文正文)" w:cs="等线(中文正文)" w:eastAsia="等线(中文正文)"/>
          <w:b w:val="false"/>
          <w:i w:val="false"/>
          <w:sz w:val="20"/>
        </w:rPr>
        <w:t/>
      </w:r>
    </w:p>
    <w:p>
      <w:pPr>
        <w:pStyle w:val="ab"/>
      </w:pPr>
      <w:r>
        <w:t>对全球通胀、油价走势及对科技资产影响的看法是什么？</w:t>
      </w:r>
    </w:p>
    <w:p>
      <w:r>
        <w:rPr>
          <w:rFonts w:ascii="等线(中文正文)" w:hAnsi="等线(中文正文)" w:cs="等线(中文正文)" w:eastAsia="等线(中文正文)"/>
          <w:b w:val="false"/>
          <w:i w:val="false"/>
          <w:sz w:val="20"/>
        </w:rPr>
        <w:t>发言人1：全球通胀中枢上移，欧洲和日本已开始加息，这使得美联储很难降息，导致许多资产由去年全面上涨转为分化。油价方面，虽然有页岩油和新能源发展等因素，但从长期看可能没有明显上涨机会，但今年油价大涨表明趋势并非一成不变。在这样的背景下，科技或AI资产可能相对占优，但长期影响还需观察。</w:t>
      </w:r>
    </w:p>
    <w:p>
      <w:r>
        <w:rPr>
          <w:rFonts w:ascii="等线(中文正文)" w:hAnsi="等线(中文正文)" w:cs="等线(中文正文)" w:eastAsia="等线(中文正文)"/>
          <w:b w:val="false"/>
          <w:i w:val="false"/>
          <w:sz w:val="20"/>
        </w:rPr>
        <w:t/>
      </w:r>
    </w:p>
    <w:p>
      <w:pPr>
        <w:pStyle w:val="ab"/>
      </w:pPr>
      <w:r>
        <w:t>过去一周国内公布的重要的相关数据有哪些？</w:t>
      </w:r>
    </w:p>
    <w:p>
      <w:r>
        <w:rPr>
          <w:rFonts w:ascii="等线(中文正文)" w:hAnsi="等线(中文正文)" w:cs="等线(中文正文)" w:eastAsia="等线(中文正文)"/>
          <w:b w:val="false"/>
          <w:i w:val="false"/>
          <w:sz w:val="20"/>
        </w:rPr>
        <w:t>发言人1：过去一周国内公布的重要的相关数据包括进出口数据、通胀数据和经营数据。其中，进出口数据方面，五月进口数据表现强劲，同比增长27.4%，出口增速为19.4%，但需要注意的是，虽然出口数据强劲，但订单信号有所转弱；通胀数据方面，五月CPI同比为1.2%，环比负0.1%，食品价格仍然是拖累CPI的主要因素，而油价和金价是支撑CPI的主力；PPI方面，五月PPI同比3.53%，环比0.5%，显示出存在一定回升态势。</w:t>
      </w:r>
    </w:p>
    <w:p>
      <w:r>
        <w:rPr>
          <w:rFonts w:ascii="等线(中文正文)" w:hAnsi="等线(中文正文)" w:cs="等线(中文正文)" w:eastAsia="等线(中文正文)"/>
          <w:b w:val="false"/>
          <w:i w:val="false"/>
          <w:sz w:val="20"/>
        </w:rPr>
        <w:t/>
      </w:r>
    </w:p>
    <w:p>
      <w:pPr>
        <w:pStyle w:val="ab"/>
      </w:pPr>
      <w:r>
        <w:t>五月的进口数据表现如何，有何特点？</w:t>
      </w:r>
    </w:p>
    <w:p>
      <w:r>
        <w:rPr>
          <w:rFonts w:ascii="等线(中文正文)" w:hAnsi="等线(中文正文)" w:cs="等线(中文正文)" w:eastAsia="等线(中文正文)"/>
          <w:b w:val="false"/>
          <w:i w:val="false"/>
          <w:sz w:val="20"/>
        </w:rPr>
        <w:t>发言人1：五月进口数据非常强，以美元计价的进口增速达到19.4%，较4月有所上行。然而，这并不意味着外需全面走强，因为制造业PMI中的新订单指数和新出口订单指数均有所回落。从商品结构上看，AI产业链中的高端机电和汽车链出口表现尤为突出，集成电路出口同比增长111%，反映出全球科技资本开支周期中，中国在全球AI投资扩张中的位置发生变化，获得了较强结构支撑。</w:t>
      </w:r>
    </w:p>
    <w:p>
      <w:r>
        <w:rPr>
          <w:rFonts w:ascii="等线(中文正文)" w:hAnsi="等线(中文正文)" w:cs="等线(中文正文)" w:eastAsia="等线(中文正文)"/>
          <w:b w:val="false"/>
          <w:i w:val="false"/>
          <w:sz w:val="20"/>
        </w:rPr>
        <w:t/>
      </w:r>
    </w:p>
    <w:p>
      <w:pPr>
        <w:pStyle w:val="ab"/>
      </w:pPr>
      <w:r>
        <w:t>从出口目的地上看有哪些特征？</w:t>
      </w:r>
    </w:p>
    <w:p>
      <w:r>
        <w:rPr>
          <w:rFonts w:ascii="等线(中文正文)" w:hAnsi="等线(中文正文)" w:cs="等线(中文正文)" w:eastAsia="等线(中文正文)"/>
          <w:b w:val="false"/>
          <w:i w:val="false"/>
          <w:sz w:val="20"/>
        </w:rPr>
        <w:t>发言人1：从目的地上看，出口呈现不均衡现象。对美国出口增速为35.4%，对东亚、东南亚出口增速为24.3%，对欧洲出口增速为7.6%，其中对美国出口的反弹部分原因在于去年基数较低，同时也受到中美经贸关系改善和竞争恢复的影响。此外，东盟地区继续保持强劲，而欧洲市场则出现快速放缓，显示出口市场从非美市场普遍支撑转向对美修复、东盟承接以及欧洲市场的结构性变化。</w:t>
      </w:r>
    </w:p>
    <w:p>
      <w:r>
        <w:rPr>
          <w:rFonts w:ascii="等线(中文正文)" w:hAnsi="等线(中文正文)" w:cs="等线(中文正文)" w:eastAsia="等线(中文正文)"/>
          <w:b w:val="false"/>
          <w:i w:val="false"/>
          <w:sz w:val="20"/>
        </w:rPr>
        <w:t/>
      </w:r>
    </w:p>
    <w:p>
      <w:pPr>
        <w:pStyle w:val="ab"/>
      </w:pPr>
      <w:r>
        <w:t>关于PPI，其同比和环比情况如何？</w:t>
      </w:r>
    </w:p>
    <w:p>
      <w:r>
        <w:rPr>
          <w:rFonts w:ascii="等线(中文正文)" w:hAnsi="等线(中文正文)" w:cs="等线(中文正文)" w:eastAsia="等线(中文正文)"/>
          <w:b w:val="false"/>
          <w:i w:val="false"/>
          <w:sz w:val="20"/>
        </w:rPr>
        <w:t>发言人1：PPI方面，五月PPI同比3.53%，环比0.5%，虽有明显回落，但仍处于相对高位。石化产业链对PPI的同比贡献较大，其中化学制造领域的贡献尤为显著，显示出在部分中游油化工环节仍存在一定的价格传导作用，并对之前PPI的走势起到支撑作用。</w:t>
      </w:r>
    </w:p>
    <w:p>
      <w:r>
        <w:rPr>
          <w:rFonts w:ascii="等线(中文正文)" w:hAnsi="等线(中文正文)" w:cs="等线(中文正文)" w:eastAsia="等线(中文正文)"/>
          <w:b w:val="false"/>
          <w:i w:val="false"/>
          <w:sz w:val="20"/>
        </w:rPr>
        <w:t/>
      </w:r>
    </w:p>
    <w:p>
      <w:pPr>
        <w:pStyle w:val="ab"/>
      </w:pPr>
      <w:r>
        <w:t>AI相关行业对PPI的贡献情况如何？</w:t>
      </w:r>
    </w:p>
    <w:p>
      <w:r>
        <w:rPr>
          <w:rFonts w:ascii="等线(中文正文)" w:hAnsi="等线(中文正文)" w:cs="等线(中文正文)" w:eastAsia="等线(中文正文)"/>
          <w:b w:val="false"/>
          <w:i w:val="false"/>
          <w:sz w:val="20"/>
        </w:rPr>
        <w:t>发言人1：AI相关的有色液电计算机制造和电器机械行业在五月对居家房地产的贡献较大，合计贡献了约41个点，高于石化相关行业。这表明AI链条对游戏、电子以及设备制造领域的价格影响力在增强，并通过集成电路自动数据处理设备及高新技术产品出口数据得到验证。</w:t>
      </w:r>
    </w:p>
    <w:p>
      <w:r>
        <w:rPr>
          <w:rFonts w:ascii="等线(中文正文)" w:hAnsi="等线(中文正文)" w:cs="等线(中文正文)" w:eastAsia="等线(中文正文)"/>
          <w:b w:val="false"/>
          <w:i w:val="false"/>
          <w:sz w:val="20"/>
        </w:rPr>
        <w:t/>
      </w:r>
    </w:p>
    <w:p>
      <w:pPr>
        <w:pStyle w:val="ab"/>
      </w:pPr>
      <w:r>
        <w:t>国内电价品价格修复的原因是什么？</w:t>
      </w:r>
    </w:p>
    <w:p>
      <w:r>
        <w:rPr>
          <w:rFonts w:ascii="等线(中文正文)" w:hAnsi="等线(中文正文)" w:cs="等线(中文正文)" w:eastAsia="等线(中文正文)"/>
          <w:b w:val="false"/>
          <w:i w:val="false"/>
          <w:sz w:val="20"/>
        </w:rPr>
        <w:t>发言人1：国内电价品价格修复主要是由于夏季用煤高峰、非电用煤需求增加、煤矿安全检查以及建筑旺季及财政资金项目下达等因素导致。</w:t>
      </w:r>
    </w:p>
    <w:p>
      <w:r>
        <w:rPr>
          <w:rFonts w:ascii="等线(中文正文)" w:hAnsi="等线(中文正文)" w:cs="等线(中文正文)" w:eastAsia="等线(中文正文)"/>
          <w:b w:val="false"/>
          <w:i w:val="false"/>
          <w:sz w:val="20"/>
        </w:rPr>
        <w:t/>
      </w:r>
    </w:p>
    <w:p>
      <w:pPr>
        <w:pStyle w:val="ab"/>
      </w:pPr>
      <w:r>
        <w:t>国内PPI整体回升是否意味着需求全面升温？</w:t>
      </w:r>
    </w:p>
    <w:p>
      <w:r>
        <w:rPr>
          <w:rFonts w:ascii="等线(中文正文)" w:hAnsi="等线(中文正文)" w:cs="等线(中文正文)" w:eastAsia="等线(中文正文)"/>
          <w:b w:val="false"/>
          <w:i w:val="false"/>
          <w:sz w:val="20"/>
        </w:rPr>
        <w:t>发言人1：虽然生产资料PPI环比上涨0.7%，生活资料环比持平，上游与中游价格上涨明显，但并未顺利传导至终端消费品。居民收入预期较弱，消费意愿偏弱，导致终端需求修复不强，所以PPI回升更多是成本端产业链景气和部分投资拉动，而非全面需求拉动。</w:t>
      </w:r>
    </w:p>
    <w:p>
      <w:r>
        <w:rPr>
          <w:rFonts w:ascii="等线(中文正文)" w:hAnsi="等线(中文正文)" w:cs="等线(中文正文)" w:eastAsia="等线(中文正文)"/>
          <w:b w:val="false"/>
          <w:i w:val="false"/>
          <w:sz w:val="20"/>
        </w:rPr>
        <w:t/>
      </w:r>
    </w:p>
    <w:p>
      <w:pPr>
        <w:pStyle w:val="ab"/>
      </w:pPr>
      <w:r>
        <w:t>对于未来CPI和PPI走势有何预测？</w:t>
      </w:r>
    </w:p>
    <w:p>
      <w:r>
        <w:rPr>
          <w:rFonts w:ascii="等线(中文正文)" w:hAnsi="等线(中文正文)" w:cs="等线(中文正文)" w:eastAsia="等线(中文正文)"/>
          <w:b w:val="false"/>
          <w:i w:val="false"/>
          <w:sz w:val="20"/>
        </w:rPr>
        <w:t>发言人1：六月食品消费处于淡季，气温升高和供给集中释放将继续压制价格，猪价是主要拖累因素，有效于CPI同比的拉动将减弱。而PPI的同比高点可能出现在三季度中期附近。</w:t>
      </w:r>
    </w:p>
    <w:p>
      <w:r>
        <w:rPr>
          <w:rFonts w:ascii="等线(中文正文)" w:hAnsi="等线(中文正文)" w:cs="等线(中文正文)" w:eastAsia="等线(中文正文)"/>
          <w:b w:val="false"/>
          <w:i w:val="false"/>
          <w:sz w:val="20"/>
        </w:rPr>
        <w:t/>
      </w:r>
    </w:p>
    <w:p>
      <w:pPr>
        <w:pStyle w:val="ab"/>
      </w:pPr>
      <w:r>
        <w:t>金融数据反映出怎样的经济现象？</w:t>
      </w:r>
    </w:p>
    <w:p>
      <w:r>
        <w:rPr>
          <w:rFonts w:ascii="等线(中文正文)" w:hAnsi="等线(中文正文)" w:cs="等线(中文正文)" w:eastAsia="等线(中文正文)"/>
          <w:b w:val="false"/>
          <w:i w:val="false"/>
          <w:sz w:val="20"/>
        </w:rPr>
        <w:t>发言人1：金融数据显示宽信用、紧信用特征，货币端不紧但信用扩张不顺，私人部门融资需求偏弱。新增社融和人民币贷款数据表明货币供应较为宽裕，但信用恢复节奏较慢，企业与居民贷款需求低迷，尤其是居民中长期贷款未有效转化为按揭贷款需求。</w:t>
      </w:r>
    </w:p>
    <w:p>
      <w:r>
        <w:rPr>
          <w:rFonts w:ascii="等线(中文正文)" w:hAnsi="等线(中文正文)" w:cs="等线(中文正文)" w:eastAsia="等线(中文正文)"/>
          <w:b w:val="false"/>
          <w:i w:val="false"/>
          <w:sz w:val="20"/>
        </w:rPr>
        <w:t/>
      </w:r>
    </w:p>
    <w:p>
      <w:pPr>
        <w:pStyle w:val="ab"/>
      </w:pPr>
      <w:r>
        <w:t>企业贷款结构及贷款需求情况如何？</w:t>
      </w:r>
    </w:p>
    <w:p>
      <w:r>
        <w:rPr>
          <w:rFonts w:ascii="等线(中文正文)" w:hAnsi="等线(中文正文)" w:cs="等线(中文正文)" w:eastAsia="等线(中文正文)"/>
          <w:b w:val="false"/>
          <w:i w:val="false"/>
          <w:sz w:val="20"/>
        </w:rPr>
        <w:t>发言人1：企业贷款中票据融资占比高达93%，反映出企业全口径人民币贷款需求不强，而短期贷款虽有增加但结构表现一般。企业端贷款需求疲软，中小板贷款减少，票据融资多增，显示银行通过票据冲规模的现象明显。</w:t>
      </w:r>
    </w:p>
    <w:p>
      <w:r>
        <w:rPr>
          <w:rFonts w:ascii="等线(中文正文)" w:hAnsi="等线(中文正文)" w:cs="等线(中文正文)" w:eastAsia="等线(中文正文)"/>
          <w:b w:val="false"/>
          <w:i w:val="false"/>
          <w:sz w:val="20"/>
        </w:rPr>
        <w:t/>
      </w:r>
    </w:p>
    <w:p>
      <w:pPr>
        <w:pStyle w:val="ab"/>
      </w:pPr>
      <w:r>
        <w:t>政府债和企业直接融资情况如何？</w:t>
      </w:r>
    </w:p>
    <w:p>
      <w:r>
        <w:rPr>
          <w:rFonts w:ascii="等线(中文正文)" w:hAnsi="等线(中文正文)" w:cs="等线(中文正文)" w:eastAsia="等线(中文正文)"/>
          <w:b w:val="false"/>
          <w:i w:val="false"/>
          <w:sz w:val="20"/>
        </w:rPr>
        <w:t>发言人1：政府债仍然是主力支撑，但同比少增，表明财政发力节奏放缓；企业直接融资新增2012亿元，同比多增，其中企业债贡献最大，但并不能替代企业中长期贷款偏弱所反映的投资额不足情况。</w:t>
      </w:r>
    </w:p>
    <w:p>
      <w:r>
        <w:rPr>
          <w:rFonts w:ascii="等线(中文正文)" w:hAnsi="等线(中文正文)" w:cs="等线(中文正文)" w:eastAsia="等线(中文正文)"/>
          <w:b w:val="false"/>
          <w:i w:val="false"/>
          <w:sz w:val="20"/>
        </w:rPr>
        <w:t/>
      </w:r>
    </w:p>
    <w:p>
      <w:pPr>
        <w:pStyle w:val="ab"/>
      </w:pPr>
      <w:r>
        <w:t>当前流动性状况及货币增速情况怎样？</w:t>
      </w:r>
    </w:p>
    <w:p>
      <w:r>
        <w:rPr>
          <w:rFonts w:ascii="等线(中文正文)" w:hAnsi="等线(中文正文)" w:cs="等线(中文正文)" w:eastAsia="等线(中文正文)"/>
          <w:b w:val="false"/>
          <w:i w:val="false"/>
          <w:sz w:val="20"/>
        </w:rPr>
        <w:t>发言人1：M2保持8.06%的增长，M1回升至5.5%，但流动性在经营体系和债券市场中相对充裕，未顺畅转化为实体部门投资需求，显示宽货币紧信用的特点。</w:t>
      </w:r>
    </w:p>
    <w:p>
      <w:r>
        <w:rPr>
          <w:rFonts w:ascii="等线(中文正文)" w:hAnsi="等线(中文正文)" w:cs="等线(中文正文)" w:eastAsia="等线(中文正文)"/>
          <w:b w:val="false"/>
          <w:i w:val="false"/>
          <w:sz w:val="20"/>
        </w:rPr>
        <w:t/>
      </w:r>
    </w:p>
    <w:p>
      <w:pPr>
        <w:pStyle w:val="ab"/>
      </w:pPr>
      <w:r>
        <w:t>美伊协议签署的情况及其对市场的影响如何？</w:t>
      </w:r>
    </w:p>
    <w:p>
      <w:r>
        <w:rPr>
          <w:rFonts w:ascii="等线(中文正文)" w:hAnsi="等线(中文正文)" w:cs="等线(中文正文)" w:eastAsia="等线(中文正文)"/>
          <w:b w:val="false"/>
          <w:i w:val="false"/>
          <w:sz w:val="20"/>
        </w:rPr>
        <w:t>发言人1：美伊局势经历了大起大落，目前美伊协议可能在本周末签署，但伊朗内部对于协议内容存在分歧，尚未做出最终决定。若协议成功签署，将关注未来一个月霍尔木兹海峡通行量恢复情况。目前布伦特油价大幅回落，若协议最终签署，将影响市场情绪和油价走势。</w:t>
      </w:r>
    </w:p>
    <w:p>
      <w:r>
        <w:rPr>
          <w:rFonts w:ascii="等线(中文正文)" w:hAnsi="等线(中文正文)" w:cs="等线(中文正文)" w:eastAsia="等线(中文正文)"/>
          <w:b w:val="false"/>
          <w:i w:val="false"/>
          <w:sz w:val="20"/>
        </w:rPr>
        <w:t/>
      </w:r>
    </w:p>
    <w:p>
      <w:pPr>
        <w:pStyle w:val="ab"/>
      </w:pPr>
      <w:r>
        <w:t>美国和伊朗可能达成的初步协议内容是什么？</w:t>
      </w:r>
    </w:p>
    <w:p>
      <w:r>
        <w:rPr>
          <w:rFonts w:ascii="等线(中文正文)" w:hAnsi="等线(中文正文)" w:cs="等线(中文正文)" w:eastAsia="等线(中文正文)"/>
          <w:b w:val="false"/>
          <w:i w:val="false"/>
          <w:sz w:val="20"/>
        </w:rPr>
        <w:t>发言人1：初步协议可能涉及在30天内解除对海峡和港口的封锁，以缓解双方因原油运输受阻带来的政治经济压力。但协议具体内容还包括其他议题，如海峡是否收费、解冻伊朗的240美元资产以及铀浓缩地点等。</w:t>
      </w:r>
    </w:p>
    <w:p>
      <w:r>
        <w:rPr>
          <w:rFonts w:ascii="等线(中文正文)" w:hAnsi="等线(中文正文)" w:cs="等线(中文正文)" w:eastAsia="等线(中文正文)"/>
          <w:b w:val="false"/>
          <w:i w:val="false"/>
          <w:sz w:val="20"/>
        </w:rPr>
        <w:t/>
      </w:r>
    </w:p>
    <w:p>
      <w:pPr>
        <w:pStyle w:val="ab"/>
      </w:pPr>
      <w:r>
        <w:t>此次谈判的时间线是怎样的？协议签署后，有哪些潜在风险需要关注？</w:t>
      </w:r>
    </w:p>
    <w:p>
      <w:r>
        <w:rPr>
          <w:rFonts w:ascii="等线(中文正文)" w:hAnsi="等线(中文正文)" w:cs="等线(中文正文)" w:eastAsia="等线(中文正文)"/>
          <w:b w:val="false"/>
          <w:i w:val="false"/>
          <w:sz w:val="20"/>
        </w:rPr>
        <w:t>发言人1：如果签署初步协议，将在60天内进入谈判期，主要落实初期协议中的承诺，即对等解除封锁。然而，核问题作为重大战略议题，双方可能难以轻易妥协，因此60天能否达成一致存在变数。潜在风险包括伊朗内部是否对协议满意并能形成统一声音，以及以色列对协议不满可能阻挠谈判，因为它关注的问题（弹道导弹限制和对地区代理人的限制）在这份协议中可能未得到解决。</w:t>
      </w:r>
    </w:p>
    <w:p>
      <w:r>
        <w:rPr>
          <w:rFonts w:ascii="等线(中文正文)" w:hAnsi="等线(中文正文)" w:cs="等线(中文正文)" w:eastAsia="等线(中文正文)"/>
          <w:b w:val="false"/>
          <w:i w:val="false"/>
          <w:sz w:val="20"/>
        </w:rPr>
        <w:t/>
      </w:r>
    </w:p>
    <w:p>
      <w:pPr>
        <w:pStyle w:val="ab"/>
      </w:pPr>
      <w:r>
        <w:t>市场对于特朗普释放的协议即将签署的信息有何反应？</w:t>
      </w:r>
    </w:p>
    <w:p>
      <w:r>
        <w:rPr>
          <w:rFonts w:ascii="等线(中文正文)" w:hAnsi="等线(中文正文)" w:cs="等线(中文正文)" w:eastAsia="等线(中文正文)"/>
          <w:b w:val="false"/>
          <w:i w:val="false"/>
          <w:sz w:val="20"/>
        </w:rPr>
        <w:t>发言人1：市场对此反应乐观，油价大幅回落。这并不完全基于全面相信协议会签署，而是基于对特朗普态度的判断。特朗普此前多次释放协议即将达成的信息，但这一次他解除军事打击威胁并宣布签署协议，使得市场解读为他不愿意回到全面战争状态，从而提振了市场信心。</w:t>
      </w:r>
    </w:p>
    <w:p>
      <w:r>
        <w:rPr>
          <w:rFonts w:ascii="等线(中文正文)" w:hAnsi="等线(中文正文)" w:cs="等线(中文正文)" w:eastAsia="等线(中文正文)"/>
          <w:b w:val="false"/>
          <w:i w:val="false"/>
          <w:sz w:val="20"/>
        </w:rPr>
        <w:t/>
      </w:r>
    </w:p>
    <w:p>
      <w:pPr>
        <w:pStyle w:val="ab"/>
      </w:pPr>
      <w:r>
        <w:t>伊朗如何回应美国和以色列的军事挑衅？</w:t>
      </w:r>
    </w:p>
    <w:p>
      <w:r>
        <w:rPr>
          <w:rFonts w:ascii="等线(中文正文)" w:hAnsi="等线(中文正文)" w:cs="等线(中文正文)" w:eastAsia="等线(中文正文)"/>
          <w:b w:val="false"/>
          <w:i w:val="false"/>
          <w:sz w:val="20"/>
        </w:rPr>
        <w:t>发言人1：伊朗采取了有限度武力的策略，在不重回全面战争的前提下进行威慑回应。近期伊朗反击对象主要为科威特、巴林等国的机场和美军基地，未明显破坏中东能源设施或阻碍红海交通，这显示出伊朗在尽量控制冲突升级的底线之下保持理性克制。</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2026-06-14T14:50:19Z</dcterms:created>
  <dc:creator>Apache POI</dc:creator>
</cp:coreProperties>
</file>