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解读跨境互联网券商整改-合规为先以行稳致远 260612_导读</w:t>
      </w:r>
    </w:p>
    <w:p>
      <w:pPr>
        <w:pStyle w:val="a0"/>
        <w:jc w:val="center"/>
      </w:pPr>
      <w:r>
        <w:t>2026年06月14日 15:08</w:t>
      </w:r>
    </w:p>
    <w:p>
      <w:pPr>
        <w:pStyle w:val="a7"/>
      </w:pPr>
      <w:r>
        <w:t>关键词</w:t>
      </w:r>
    </w:p>
    <w:p>
      <w:r>
        <w:rPr>
          <w:rFonts w:ascii="等线(中文正文)" w:hAnsi="等线(中文正文)" w:cs="等线(中文正文)" w:eastAsia="等线(中文正文)"/>
          <w:b w:val="false"/>
          <w:i w:val="false"/>
          <w:sz w:val="20"/>
        </w:rPr>
        <w:t xml:space="preserve">证监会 非法跨境经营 香港证监会 存量客户 富途老虎 合规经营 资金来源 开户政策 监管背景 金融牌照 境内服务 整改要求 处罚金额 投资者保护 实操细节 合法渠道 国际化 监管 合规 多元化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监管背景与跨境互联网券商整改报告揭示了跨境证券交易监管的演变历程，从早期的灰色地带监管到全面取缔非法跨境经营，凸显了监管机构对投资者保护和市场秩序维护的重视。报告强调了证监会与其他部门的实施方案及香港证监会的相应措施，指出对互联网券商可能面临的行政处罚、罚款以及对存量账户和交易活动的限制，标志着监管文件的落地。未来，互联网券商需拥抱监管、确保牌照合规和本地化运营，以缓解估值压力并追求长期盈利增长。发言人强调了积极面对监管、合规经营和产品服务多元化的必要性，对互联网券商的未来发展持乐观态度。</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解读跨境互联网券商整改监管政策</w:t>
      </w:r>
    </w:p>
    <w:p>
      <w:r>
        <w:rPr>
          <w:rFonts w:ascii="等线(中文正文)" w:hAnsi="等线(中文正文)" w:cs="等线(中文正文)" w:eastAsia="等线(中文正文)"/>
          <w:b w:val="false"/>
          <w:i w:val="false"/>
          <w:sz w:val="20"/>
        </w:rPr>
        <w:t>对话深入探讨了跨境互联网券商整改的监管脉络、潜在影响及行业未来。监管旨在建立有效机制，保护投资者权益，维护市场秩序，要求两年内全面取缔非法跨境经营活动。香港证监会和监管局也规范了内地个人投资者账户管理，包括核查历史开户、关闭可疑账户及要求资金来源证明。</w:t>
      </w:r>
    </w:p>
    <w:p>
      <w:r>
        <w:rPr>
          <w:rFonts w:ascii="等线(中文正文)" w:hAnsi="等线(中文正文)" w:cs="等线(中文正文)" w:eastAsia="等线(中文正文)"/>
          <w:b w:val="false"/>
          <w:i w:val="false"/>
          <w:sz w:val="20"/>
        </w:rPr>
        <w:t/>
      </w:r>
    </w:p>
    <w:p>
      <w:pPr>
        <w:pStyle w:val="ab"/>
        <w:numPr>
          <w:numId w:val="2"/>
        </w:numPr>
      </w:pPr>
      <w:r>
        <w:t>03:07 跨境证券交易监管政策全面落地</w:t>
      </w:r>
    </w:p>
    <w:p>
      <w:r>
        <w:rPr>
          <w:rFonts w:ascii="等线(中文正文)" w:hAnsi="等线(中文正文)" w:cs="等线(中文正文)" w:eastAsia="等线(中文正文)"/>
          <w:b w:val="false"/>
          <w:i w:val="false"/>
          <w:sz w:val="20"/>
        </w:rPr>
        <w:t>跨境证券交易监管政策历经多年逐步收紧，从早期风险提示到全面取缔非法经营，监管机构与行业机构共同推进整改。最新监管方案强调全链条取缔，覆盖全行业，设置两年集中整治期，旨在保障投资者权益，引导合法投资渠道。</w:t>
      </w:r>
    </w:p>
    <w:p>
      <w:r>
        <w:rPr>
          <w:rFonts w:ascii="等线(中文正文)" w:hAnsi="等线(中文正文)" w:cs="等线(中文正文)" w:eastAsia="等线(中文正文)"/>
          <w:b w:val="false"/>
          <w:i w:val="false"/>
          <w:sz w:val="20"/>
        </w:rPr>
        <w:t/>
      </w:r>
    </w:p>
    <w:p>
      <w:pPr>
        <w:pStyle w:val="ab"/>
        <w:numPr>
          <w:numId w:val="3"/>
        </w:numPr>
      </w:pPr>
      <w:r>
        <w:t>08:24 监管处罚对老虎附图等公司的影响及后续政策解读</w:t>
      </w:r>
    </w:p>
    <w:p>
      <w:r>
        <w:rPr>
          <w:rFonts w:ascii="等线(中文正文)" w:hAnsi="等线(中文正文)" w:cs="等线(中文正文)" w:eastAsia="等线(中文正文)"/>
          <w:b w:val="false"/>
          <w:i w:val="false"/>
          <w:sz w:val="20"/>
        </w:rPr>
        <w:t>监管对老虎附图等公司实施行政处罚，涉及巨额罚款，短期内影响公司盈利。处罚包括没收违法所得和罚款，具体金额占一季度收入和利润比例较大。未来两年内，公司需压降境内投资账户和资产规模，禁止境内买入交易和转入资金。监管明确需清退两类账户：使用可疑或伪造文件开户的账户和无资产结余的僵尸户。香港证监会表示，持牌公司可继续为内地客户提供服务，前提是服务不在内地提供，并遵守相关法律法规。行业及公司需关注后续政策细节，以应对潜在影响。</w:t>
      </w:r>
    </w:p>
    <w:p>
      <w:r>
        <w:rPr>
          <w:rFonts w:ascii="等线(中文正文)" w:hAnsi="等线(中文正文)" w:cs="等线(中文正文)" w:eastAsia="等线(中文正文)"/>
          <w:b w:val="false"/>
          <w:i w:val="false"/>
          <w:sz w:val="20"/>
        </w:rPr>
        <w:t/>
      </w:r>
    </w:p>
    <w:p>
      <w:pPr>
        <w:pStyle w:val="ab"/>
        <w:numPr>
          <w:numId w:val="4"/>
        </w:numPr>
      </w:pPr>
      <w:r>
        <w:t>12:04 头部机构中国内地业务占比下降，境外客户资金安全受关注</w:t>
      </w:r>
    </w:p>
    <w:p>
      <w:r>
        <w:rPr>
          <w:rFonts w:ascii="等线(中文正文)" w:hAnsi="等线(中文正文)" w:cs="等线(中文正文)" w:eastAsia="等线(中文正文)"/>
          <w:b w:val="false"/>
          <w:i w:val="false"/>
          <w:sz w:val="20"/>
        </w:rPr>
        <w:t>头部机构的中国内地业务贡献占比持续降低，未来预期将进一步压降。尽管短期舆情可能对品牌造成影响，但境外客户资金安全有保障，恐慌程度和资金流出幅度预计优于以往。长期来看，积极拥抱监管的平台更可能稳健发展，相关公司已通过回购计划彰显对长期发展的信心。</w:t>
      </w:r>
    </w:p>
    <w:p>
      <w:r>
        <w:rPr>
          <w:rFonts w:ascii="等线(中文正文)" w:hAnsi="等线(中文正文)" w:cs="等线(中文正文)" w:eastAsia="等线(中文正文)"/>
          <w:b w:val="false"/>
          <w:i w:val="false"/>
          <w:sz w:val="20"/>
        </w:rPr>
        <w:t/>
      </w:r>
    </w:p>
    <w:p>
      <w:pPr>
        <w:pStyle w:val="ab"/>
        <w:numPr>
          <w:numId w:val="5"/>
        </w:numPr>
      </w:pPr>
      <w:r>
        <w:t>14:42 互联网券商国际化战略与监管影响分析</w:t>
      </w:r>
    </w:p>
    <w:p>
      <w:r>
        <w:rPr>
          <w:rFonts w:ascii="等线(中文正文)" w:hAnsi="等线(中文正文)" w:cs="等线(中文正文)" w:eastAsia="等线(中文正文)"/>
          <w:b w:val="false"/>
          <w:i w:val="false"/>
          <w:sz w:val="20"/>
        </w:rPr>
        <w:t>对话探讨了互联网券商的国际化战略，以盈透证券和富途为例，展示了其全球布局和业务拓展情况。强调了牌照布局、合规经营以及本地化运营的重要性，同时指出在监管不确定性背景下，持续开拓国际化之路是中资互联网券商的应对策略。</w:t>
      </w:r>
    </w:p>
    <w:p>
      <w:r>
        <w:rPr>
          <w:rFonts w:ascii="等线(中文正文)" w:hAnsi="等线(中文正文)" w:cs="等线(中文正文)" w:eastAsia="等线(中文正文)"/>
          <w:b w:val="false"/>
          <w:i w:val="false"/>
          <w:sz w:val="20"/>
        </w:rPr>
        <w:t/>
      </w:r>
    </w:p>
    <w:p>
      <w:pPr>
        <w:pStyle w:val="ab"/>
        <w:numPr>
          <w:numId w:val="6"/>
        </w:numPr>
      </w:pPr>
      <w:r>
        <w:t>17:52 中资互联网券商合规与估值压力分析</w:t>
      </w:r>
    </w:p>
    <w:p>
      <w:r>
        <w:rPr>
          <w:rFonts w:ascii="等线(中文正文)" w:hAnsi="等线(中文正文)" w:cs="等线(中文正文)" w:eastAsia="等线(中文正文)"/>
          <w:b w:val="false"/>
          <w:i w:val="false"/>
          <w:sz w:val="20"/>
        </w:rPr>
        <w:t>对话深入探讨了中资互联网券商在全球市场中的合规性布局，及其对估值压力的影响。通过分析国际领先券商如Robinhood的历史案例，展示了监管风险缓解后市场关注度回归公司业务发展前景的趋势。同时，对比中资券商与海外同业的估值差异，指出中国内地监管担忧是主要压制因素。未来，合规整改与多元化布局有望缓解估值压力，助力长期盈利增长与估值提升。</w:t>
      </w:r>
    </w:p>
    <w:p>
      <w:r>
        <w:rPr>
          <w:rFonts w:ascii="等线(中文正文)" w:hAnsi="等线(中文正文)" w:cs="等线(中文正文)" w:eastAsia="等线(中文正文)"/>
          <w:b w:val="false"/>
          <w:i w:val="false"/>
          <w:sz w:val="20"/>
        </w:rPr>
        <w:t/>
      </w:r>
    </w:p>
    <w:p>
      <w:pPr>
        <w:pStyle w:val="ab"/>
        <w:numPr>
          <w:numId w:val="7"/>
        </w:numPr>
      </w:pPr>
      <w:r>
        <w:t>21:37 互联网券商转型与收入多元化趋势</w:t>
      </w:r>
    </w:p>
    <w:p>
      <w:r>
        <w:rPr>
          <w:rFonts w:ascii="等线(中文正文)" w:hAnsi="等线(中文正文)" w:cs="等线(中文正文)" w:eastAsia="等线(中文正文)"/>
          <w:b w:val="false"/>
          <w:i w:val="false"/>
          <w:sz w:val="20"/>
        </w:rPr>
        <w:t>对话围绕互联网券商从交易主导到综合财富管理平台的转变，分析了收入结构变化，如交易收入占比下降，资产管理与利息收入占比提升。以Robo为例，探讨了产品与服务多元化，包括数字资产、预测市场、订阅服务等，并强调了通过并购整合和AI赋能拓宽业务范围，降低市场依赖，适应地缘经济冲突背景下的挑战。</w:t>
      </w:r>
    </w:p>
    <w:p>
      <w:r>
        <w:rPr>
          <w:rFonts w:ascii="等线(中文正文)" w:hAnsi="等线(中文正文)" w:cs="等线(中文正文)" w:eastAsia="等线(中文正文)"/>
          <w:b w:val="false"/>
          <w:i w:val="false"/>
          <w:sz w:val="20"/>
        </w:rPr>
        <w:t/>
      </w:r>
    </w:p>
    <w:p>
      <w:pPr>
        <w:pStyle w:val="ab"/>
        <w:numPr>
          <w:numId w:val="8"/>
        </w:numPr>
      </w:pPr>
      <w:r>
        <w:t>25:03 中资互联网券商的多元化产品布局与监管合规</w:t>
      </w:r>
    </w:p>
    <w:p>
      <w:r>
        <w:rPr>
          <w:rFonts w:ascii="等线(中文正文)" w:hAnsi="等线(中文正文)" w:cs="等线(中文正文)" w:eastAsia="等线(中文正文)"/>
          <w:b w:val="false"/>
          <w:i w:val="false"/>
          <w:sz w:val="20"/>
        </w:rPr>
        <w:t>讨论了中资互联网券商在多元化产品布局上的持续拓展，包括提供美股、港股、A股通等交易，以及财富管理和数字资产交易服务。同时，强调了积极拥抱监管、本地化运营和多元化产品服务的重要性，以缓解估值压力，实现长期稳健增长。会议总结了监管文件的落地对投资者保护的体现，以及行业未来的发展方向。</w:t>
      </w:r>
    </w:p>
    <w:p>
      <w:r>
        <w:rPr>
          <w:rFonts w:ascii="等线(中文正文)" w:hAnsi="等线(中文正文)" w:cs="等线(中文正文)" w:eastAsia="等线(中文正文)"/>
          <w:b w:val="false"/>
          <w:i w:val="false"/>
          <w:sz w:val="20"/>
        </w:rPr>
        <w:t/>
      </w:r>
    </w:p>
    <w:p>
      <w:pPr>
        <w:pStyle w:val="a7"/>
      </w:pPr>
      <w:r>
        <w:t>发言总结</w:t>
      </w:r>
    </w:p>
    <w:p>
      <w:pPr>
        <w:pStyle w:val="ab"/>
        <w:numPr>
          <w:numId w:val="9"/>
        </w:numPr>
      </w:pPr>
      <w:r>
        <w:t>发言人1</w:t>
      </w:r>
    </w:p>
    <w:p>
      <w:r>
        <w:rPr>
          <w:rFonts w:ascii="等线(中文正文)" w:hAnsi="等线(中文正文)" w:cs="等线(中文正文)" w:eastAsia="等线(中文正文)"/>
          <w:b w:val="false"/>
          <w:i w:val="false"/>
          <w:sz w:val="20"/>
        </w:rPr>
        <w:t>概述了跨境互联网券商整改报告解读电话会的主要内容，强调了中国金融监管机构联合多个部门发布综合整治方案，旨在打击非法跨境证券期货基金经营活动，保护投资者权益，维护市场秩序。报告着重分析了监管脉络、可能影响及行业未来展望，指出监管脉络是一贯稳步推进，预计会短期影响公司盈利，但长期来看，拥抱监管、实现国际化和多元化产品布局的平台更有可能实现稳健增长。此外，他还强调了中资互联网券商面临的挑战与机遇，以及如何通过创新产品和服务、牌照合规布局和本地化运营来应对当前监管环境，促进长期稳健发展。</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问：中金非银及金融科技团队近期发布了哪篇深度报告？</w:t>
      </w:r>
    </w:p>
    <w:p>
      <w:r>
        <w:rPr>
          <w:rFonts w:ascii="等线(中文正文)" w:hAnsi="等线(中文正文)" w:cs="等线(中文正文)" w:eastAsia="等线(中文正文)"/>
          <w:b w:val="false"/>
          <w:i w:val="false"/>
          <w:sz w:val="20"/>
        </w:rPr>
        <w:t>发言人1 答：我们近期发布了一篇深度报告，讨论了对这次监管要求的理解，并回答了如何理解监管脉络、如何看待潜在影响以及如何展望行业未来这三个问题。</w:t>
      </w:r>
    </w:p>
    <w:p>
      <w:r>
        <w:rPr>
          <w:rFonts w:ascii="等线(中文正文)" w:hAnsi="等线(中文正文)" w:cs="等线(中文正文)" w:eastAsia="等线(中文正文)"/>
          <w:b w:val="false"/>
          <w:i w:val="false"/>
          <w:sz w:val="20"/>
        </w:rPr>
        <w:t/>
      </w:r>
    </w:p>
    <w:p>
      <w:pPr>
        <w:pStyle w:val="ab"/>
      </w:pPr>
      <w:r>
        <w:t>发言人1 问：在5月22日，证监会联合八部门发布了什么实施方案？香港证监会和香港监管局针对内地个人投资者开立及管理投资账户发布了什么内容的通函？</w:t>
      </w:r>
    </w:p>
    <w:p>
      <w:r>
        <w:rPr>
          <w:rFonts w:ascii="等线(中文正文)" w:hAnsi="等线(中文正文)" w:cs="等线(中文正文)" w:eastAsia="等线(中文正文)"/>
          <w:b w:val="false"/>
          <w:i w:val="false"/>
          <w:sz w:val="20"/>
        </w:rPr>
        <w:t>发言人1 答：5月22日，证监会联合八部门发布了综合整治非法跨境证券期货基金经营活动实施方案。同日，香港证监会和香港监管局发布通函，规范持牌法团及注册机构为内地个人投资者开立及管理投资账户的行为。</w:t>
      </w:r>
    </w:p>
    <w:p>
      <w:r>
        <w:rPr>
          <w:rFonts w:ascii="等线(中文正文)" w:hAnsi="等线(中文正文)" w:cs="等线(中文正文)" w:eastAsia="等线(中文正文)"/>
          <w:b w:val="false"/>
          <w:i w:val="false"/>
          <w:sz w:val="20"/>
        </w:rPr>
        <w:t/>
      </w:r>
    </w:p>
    <w:p>
      <w:pPr>
        <w:pStyle w:val="ab"/>
      </w:pPr>
      <w:r>
        <w:t>发言人1 问：监管的主要目标是什么？</w:t>
      </w:r>
    </w:p>
    <w:p>
      <w:r>
        <w:rPr>
          <w:rFonts w:ascii="等线(中文正文)" w:hAnsi="等线(中文正文)" w:cs="等线(中文正文)" w:eastAsia="等线(中文正文)"/>
          <w:b w:val="false"/>
          <w:i w:val="false"/>
          <w:sz w:val="20"/>
        </w:rPr>
        <w:t>发言人1 答：监管的主要目标是经过两年的集中整治，全面取缔境外证券期货基金经营机构的非法跨境经营活动，实现坚决取缔非法、稳妥清理存量的目标。</w:t>
      </w:r>
    </w:p>
    <w:p>
      <w:r>
        <w:rPr>
          <w:rFonts w:ascii="等线(中文正文)" w:hAnsi="等线(中文正文)" w:cs="等线(中文正文)" w:eastAsia="等线(中文正文)"/>
          <w:b w:val="false"/>
          <w:i w:val="false"/>
          <w:sz w:val="20"/>
        </w:rPr>
        <w:t/>
      </w:r>
    </w:p>
    <w:p>
      <w:pPr>
        <w:pStyle w:val="ab"/>
      </w:pPr>
      <w:r>
        <w:t>发言人1 问：香港证监会和香港监管局对新开立的投资账户采取了哪些额外措施？</w:t>
      </w:r>
    </w:p>
    <w:p>
      <w:r>
        <w:rPr>
          <w:rFonts w:ascii="等线(中文正文)" w:hAnsi="等线(中文正文)" w:cs="等线(中文正文)" w:eastAsia="等线(中文正文)"/>
          <w:b w:val="false"/>
          <w:i w:val="false"/>
          <w:sz w:val="20"/>
        </w:rPr>
        <w:t>发言人1 答：新开立的投资账户需提供资金来源等证明文件和声明文件，以确认资金来源于境外合法渠道。</w:t>
      </w:r>
    </w:p>
    <w:p>
      <w:r>
        <w:rPr>
          <w:rFonts w:ascii="等线(中文正文)" w:hAnsi="等线(中文正文)" w:cs="等线(中文正文)" w:eastAsia="等线(中文正文)"/>
          <w:b w:val="false"/>
          <w:i w:val="false"/>
          <w:sz w:val="20"/>
        </w:rPr>
        <w:t/>
      </w:r>
    </w:p>
    <w:p>
      <w:pPr>
        <w:pStyle w:val="ab"/>
      </w:pPr>
      <w:r>
        <w:t>发言人1 问：上述方案出台的意义是什么？监管针对跨境证券交易领域的历程是怎样的？</w:t>
      </w:r>
    </w:p>
    <w:p>
      <w:r>
        <w:rPr>
          <w:rFonts w:ascii="等线(中文正文)" w:hAnsi="等线(中文正文)" w:cs="等线(中文正文)" w:eastAsia="等线(中文正文)"/>
          <w:b w:val="false"/>
          <w:i w:val="false"/>
          <w:sz w:val="20"/>
        </w:rPr>
        <w:t>发言人1 答：方案的出台标志着跨境证券交易重要监管文件的落地，有助于理清行业的合规逻辑，彰显了与时俱进的监管思路。监管历程经历了从早期灰色地带监管风险提示，到开始收紧做新老划断，再到全面取缔非法经营的阶段，并且行业机构也在不断进行整改。</w:t>
      </w:r>
    </w:p>
    <w:p>
      <w:r>
        <w:rPr>
          <w:rFonts w:ascii="等线(中文正文)" w:hAnsi="等线(中文正文)" w:cs="等线(中文正文)" w:eastAsia="等线(中文正文)"/>
          <w:b w:val="false"/>
          <w:i w:val="false"/>
          <w:sz w:val="20"/>
        </w:rPr>
        <w:t/>
      </w:r>
    </w:p>
    <w:p>
      <w:pPr>
        <w:pStyle w:val="ab"/>
      </w:pPr>
      <w:r>
        <w:t>发言人1 问：从何时开始，监管开始关注境外炒股的风险并采取相关措施？</w:t>
      </w:r>
    </w:p>
    <w:p>
      <w:r>
        <w:rPr>
          <w:rFonts w:ascii="等线(中文正文)" w:hAnsi="等线(中文正文)" w:cs="等线(中文正文)" w:eastAsia="等线(中文正文)"/>
          <w:b w:val="false"/>
          <w:i w:val="false"/>
          <w:sz w:val="20"/>
        </w:rPr>
        <w:t>发言人1 答：监管最早在2016年开始关注境外炒股风险，并在之后几年通过发文、媒体演讲等形式持续提示未取得境内相关牌照的境外机构提供证券投资服务属于非法经营活动。</w:t>
      </w:r>
    </w:p>
    <w:p>
      <w:r>
        <w:rPr>
          <w:rFonts w:ascii="等线(中文正文)" w:hAnsi="等线(中文正文)" w:cs="等线(中文正文)" w:eastAsia="等线(中文正文)"/>
          <w:b w:val="false"/>
          <w:i w:val="false"/>
          <w:sz w:val="20"/>
        </w:rPr>
        <w:t/>
      </w:r>
    </w:p>
    <w:p>
      <w:pPr>
        <w:pStyle w:val="ab"/>
      </w:pPr>
      <w:r>
        <w:t>发言人1 问：富途和老虎等互联网券商在整改过程中的具体做法是什么？</w:t>
      </w:r>
    </w:p>
    <w:p>
      <w:r>
        <w:rPr>
          <w:rFonts w:ascii="等线(中文正文)" w:hAnsi="等线(中文正文)" w:cs="等线(中文正文)" w:eastAsia="等线(中文正文)"/>
          <w:b w:val="false"/>
          <w:i w:val="false"/>
          <w:sz w:val="20"/>
        </w:rPr>
        <w:t>发言人1 答：富途和老虎等互联网券商在2022年12月之后停止为境内投资者开户，下架了国内应用商店的APP，并在后续逐步收紧开户政策，仅接受持有非中国内地身份文件或境外身份证明的客户申请开户。</w:t>
      </w:r>
    </w:p>
    <w:p>
      <w:r>
        <w:rPr>
          <w:rFonts w:ascii="等线(中文正文)" w:hAnsi="等线(中文正文)" w:cs="等线(中文正文)" w:eastAsia="等线(中文正文)"/>
          <w:b w:val="false"/>
          <w:i w:val="false"/>
          <w:sz w:val="20"/>
        </w:rPr>
        <w:t/>
      </w:r>
    </w:p>
    <w:p>
      <w:pPr>
        <w:pStyle w:val="ab"/>
      </w:pPr>
      <w:r>
        <w:t>发言人1 问：5月22日之后，这些互联网券商有何新的调整措施？</w:t>
      </w:r>
    </w:p>
    <w:p>
      <w:r>
        <w:rPr>
          <w:rFonts w:ascii="等线(中文正文)" w:hAnsi="等线(中文正文)" w:cs="等线(中文正文)" w:eastAsia="等线(中文正文)"/>
          <w:b w:val="false"/>
          <w:i w:val="false"/>
          <w:sz w:val="20"/>
        </w:rPr>
        <w:t>发言人1 答：5月22日之后，互联网券商正式实施两年集中整治期的行业监管要求，暂停境内投资者股票等品种的买入交易及资金转入，以调整存量投资者账户服务并落实相关监管工作。</w:t>
      </w:r>
    </w:p>
    <w:p>
      <w:r>
        <w:rPr>
          <w:rFonts w:ascii="等线(中文正文)" w:hAnsi="等线(中文正文)" w:cs="等线(中文正文)" w:eastAsia="等线(中文正文)"/>
          <w:b w:val="false"/>
          <w:i w:val="false"/>
          <w:sz w:val="20"/>
        </w:rPr>
        <w:t/>
      </w:r>
    </w:p>
    <w:p>
      <w:pPr>
        <w:pStyle w:val="ab"/>
      </w:pPr>
      <w:r>
        <w:t>发言人1 问：这次监管方案的主要内容是什么？</w:t>
      </w:r>
    </w:p>
    <w:p>
      <w:r>
        <w:rPr>
          <w:rFonts w:ascii="等线(中文正文)" w:hAnsi="等线(中文正文)" w:cs="等线(中文正文)" w:eastAsia="等线(中文正文)"/>
          <w:b w:val="false"/>
          <w:i w:val="false"/>
          <w:sz w:val="20"/>
        </w:rPr>
        <w:t>发言人1 答：这次监管方案是对全行业的进一步深化整改，重点在于全链条取缔非法经营行为，覆盖了营销招揽、开户处理、交易指令、资金划转等各个业务环节，并且明确设置了两年的集中整治期，期间将停止境外机构相关的境内服务，要求妥善处置客户资产，保障客户财产安全。</w:t>
      </w:r>
    </w:p>
    <w:p>
      <w:r>
        <w:rPr>
          <w:rFonts w:ascii="等线(中文正文)" w:hAnsi="等线(中文正文)" w:cs="等线(中文正文)" w:eastAsia="等线(中文正文)"/>
          <w:b w:val="false"/>
          <w:i w:val="false"/>
          <w:sz w:val="20"/>
        </w:rPr>
        <w:t/>
      </w:r>
    </w:p>
    <w:p>
      <w:pPr>
        <w:pStyle w:val="ab"/>
      </w:pPr>
      <w:r>
        <w:t>发言人1 问：监管处罚的具体金额是多少，对相关公司有何影响？</w:t>
      </w:r>
    </w:p>
    <w:p>
      <w:r>
        <w:rPr>
          <w:rFonts w:ascii="等线(中文正文)" w:hAnsi="等线(中文正文)" w:cs="等线(中文正文)" w:eastAsia="等线(中文正文)"/>
          <w:b w:val="false"/>
          <w:i w:val="false"/>
          <w:sz w:val="20"/>
        </w:rPr>
        <w:t>发言人1 答：对于老虎和附图长条等机构，处罚金额分别为约18.5亿元和4.1亿元人民币，分别占其一季度总收入的36%和39%，以及营业利润的60%和126%。这些罚款已在一季报中计提，短期内会对公司的盈利带来一定负面影响。</w:t>
      </w:r>
    </w:p>
    <w:p>
      <w:r>
        <w:rPr>
          <w:rFonts w:ascii="等线(中文正文)" w:hAnsi="等线(中文正文)" w:cs="等线(中文正文)" w:eastAsia="等线(中文正文)"/>
          <w:b w:val="false"/>
          <w:i w:val="false"/>
          <w:sz w:val="20"/>
        </w:rPr>
        <w:t/>
      </w:r>
    </w:p>
    <w:p>
      <w:pPr>
        <w:pStyle w:val="ab"/>
      </w:pPr>
      <w:r>
        <w:t>发言人1 问：在未来的两年内，境内投资账户和资产规模将如何处理？</w:t>
      </w:r>
    </w:p>
    <w:p>
      <w:r>
        <w:rPr>
          <w:rFonts w:ascii="等线(中文正文)" w:hAnsi="等线(中文正文)" w:cs="等线(中文正文)" w:eastAsia="等线(中文正文)"/>
          <w:b w:val="false"/>
          <w:i w:val="false"/>
          <w:sz w:val="20"/>
        </w:rPr>
        <w:t>发言人1 答：未来两年内需要压降境内投资账户及资产规模，禁止存量客户在境内进行买入交易转入资金，仅允许单向卖出或转出资金。集中整治期满后，禁止境内提供交易服务。</w:t>
      </w:r>
    </w:p>
    <w:p>
      <w:r>
        <w:rPr>
          <w:rFonts w:ascii="等线(中文正文)" w:hAnsi="等线(中文正文)" w:cs="等线(中文正文)" w:eastAsia="等线(中文正文)"/>
          <w:b w:val="false"/>
          <w:i w:val="false"/>
          <w:sz w:val="20"/>
        </w:rPr>
        <w:t/>
      </w:r>
    </w:p>
    <w:p>
      <w:pPr>
        <w:pStyle w:val="ab"/>
      </w:pPr>
      <w:r>
        <w:t>发言人1 问：哪些类型的境内投资账户会被清退或强制关停？</w:t>
      </w:r>
    </w:p>
    <w:p>
      <w:r>
        <w:rPr>
          <w:rFonts w:ascii="等线(中文正文)" w:hAnsi="等线(中文正文)" w:cs="等线(中文正文)" w:eastAsia="等线(中文正文)"/>
          <w:b w:val="false"/>
          <w:i w:val="false"/>
          <w:sz w:val="20"/>
        </w:rPr>
        <w:t>发言人1 答：两类境内投资账户必须清退和关闭：一是使用可疑或伪造文件开立的投资账户，例如通过P图等方式伪造开户证明或身份证明；二是无任何资产结余且在过去12个月未有活动的零资产账户或僵尸户。</w:t>
      </w:r>
    </w:p>
    <w:p>
      <w:r>
        <w:rPr>
          <w:rFonts w:ascii="等线(中文正文)" w:hAnsi="等线(中文正文)" w:cs="等线(中文正文)" w:eastAsia="等线(中文正文)"/>
          <w:b w:val="false"/>
          <w:i w:val="false"/>
          <w:sz w:val="20"/>
        </w:rPr>
        <w:t/>
      </w:r>
    </w:p>
    <w:p>
      <w:pPr>
        <w:pStyle w:val="ab"/>
      </w:pPr>
      <w:r>
        <w:t>发言人1 问：境外开户和交易是否受两年限制？</w:t>
      </w:r>
    </w:p>
    <w:p>
      <w:r>
        <w:rPr>
          <w:rFonts w:ascii="等线(中文正文)" w:hAnsi="等线(中文正文)" w:cs="等线(中文正文)" w:eastAsia="等线(中文正文)"/>
          <w:b w:val="false"/>
          <w:i w:val="false"/>
          <w:sz w:val="20"/>
        </w:rPr>
        <w:t>发言人1 答：根据香港证监会的解读，香港持牌公司可以继续为现有的中国内地客户提供服务，前提是中国内地客户不境内开户，并且所有投资活动及相关结算资金均来自境外合法来源。但在实操层面上，如何证明资金来源的合法性仍有待进一步明确和完善。</w:t>
      </w:r>
    </w:p>
    <w:p>
      <w:r>
        <w:rPr>
          <w:rFonts w:ascii="等线(中文正文)" w:hAnsi="等线(中文正文)" w:cs="等线(中文正文)" w:eastAsia="等线(中文正文)"/>
          <w:b w:val="false"/>
          <w:i w:val="false"/>
          <w:sz w:val="20"/>
        </w:rPr>
        <w:t/>
      </w:r>
    </w:p>
    <w:p>
      <w:pPr>
        <w:pStyle w:val="ab"/>
      </w:pPr>
      <w:r>
        <w:t>发言人1 问：当前头部机构中国内地客户占比情况如何？</w:t>
      </w:r>
    </w:p>
    <w:p>
      <w:r>
        <w:rPr>
          <w:rFonts w:ascii="等线(中文正文)" w:hAnsi="等线(中文正文)" w:cs="等线(中文正文)" w:eastAsia="等线(中文正文)"/>
          <w:b w:val="false"/>
          <w:i w:val="false"/>
          <w:sz w:val="20"/>
        </w:rPr>
        <w:t>发言人1 答：目前，头部机构中国内地客户的存量占比正在逐步降低，例如富途和老虎在一季度末中国内地客户数占入境用户数的占比分别为13%和10%，资产和收入贡献占比分别为17%和20%-25%。整体来看，两家公司的业务增量更多地来自于境外。</w:t>
      </w:r>
    </w:p>
    <w:p>
      <w:r>
        <w:rPr>
          <w:rFonts w:ascii="等线(中文正文)" w:hAnsi="等线(中文正文)" w:cs="等线(中文正文)" w:eastAsia="等线(中文正文)"/>
          <w:b w:val="false"/>
          <w:i w:val="false"/>
          <w:sz w:val="20"/>
        </w:rPr>
        <w:t/>
      </w:r>
    </w:p>
    <w:p>
      <w:pPr>
        <w:pStyle w:val="ab"/>
      </w:pPr>
      <w:r>
        <w:t>发言人1 问：对于中国内地存量账户数和客户资产的影响，您认为未来会如何变化？</w:t>
      </w:r>
    </w:p>
    <w:p>
      <w:r>
        <w:rPr>
          <w:rFonts w:ascii="等线(中文正文)" w:hAnsi="等线(中文正文)" w:cs="等线(中文正文)" w:eastAsia="等线(中文正文)"/>
          <w:b w:val="false"/>
          <w:i w:val="false"/>
          <w:sz w:val="20"/>
        </w:rPr>
        <w:t>发言人1 答：我们认为中国内地存量账户数及其带来的客户资产和收入贡献，未来可能会持续压降。短期内，相关舆情可能会对品牌造成一定影响，但公司层面目前没有持续性经营风险，境外客户的资金安全得到保障。预计本轮境外客户恐慌程度及资金流出幅度会好于之前22年底的舆情冲击，并且二季度以来净新增资产客户趋势稳定。</w:t>
      </w:r>
    </w:p>
    <w:p>
      <w:r>
        <w:rPr>
          <w:rFonts w:ascii="等线(中文正文)" w:hAnsi="等线(中文正文)" w:cs="等线(中文正文)" w:eastAsia="等线(中文正文)"/>
          <w:b w:val="false"/>
          <w:i w:val="false"/>
          <w:sz w:val="20"/>
        </w:rPr>
        <w:t/>
      </w:r>
    </w:p>
    <w:p>
      <w:pPr>
        <w:pStyle w:val="ab"/>
      </w:pPr>
      <w:r>
        <w:t>发言人1 问：公司预计二季度的经济水平表现如何？</w:t>
      </w:r>
    </w:p>
    <w:p>
      <w:r>
        <w:rPr>
          <w:rFonts w:ascii="等线(中文正文)" w:hAnsi="等线(中文正文)" w:cs="等线(中文正文)" w:eastAsia="等线(中文正文)"/>
          <w:b w:val="false"/>
          <w:i w:val="false"/>
          <w:sz w:val="20"/>
        </w:rPr>
        <w:t>发言人1 答：公司预计二季度经济水平将保持良好增长态势，客户资产管理提升，美股交易活跃。长期来看，积极拥抱监管并配合整改的平台更有可能稳健发展。例如，老虎最近完成了约4.18亿美金的股票回购，超过原定计划的一半，并批准了未来12个月内最高5000万元美金的股票回购计划。</w:t>
      </w:r>
    </w:p>
    <w:p>
      <w:r>
        <w:rPr>
          <w:rFonts w:ascii="等线(中文正文)" w:hAnsi="等线(中文正文)" w:cs="等线(中文正文)" w:eastAsia="等线(中文正文)"/>
          <w:b w:val="false"/>
          <w:i w:val="false"/>
          <w:sz w:val="20"/>
        </w:rPr>
        <w:t/>
      </w:r>
    </w:p>
    <w:p>
      <w:pPr>
        <w:pStyle w:val="ab"/>
      </w:pPr>
      <w:r>
        <w:t>发言人1 问：国际化对于行业发展有何展望？</w:t>
      </w:r>
    </w:p>
    <w:p>
      <w:r>
        <w:rPr>
          <w:rFonts w:ascii="等线(中文正文)" w:hAnsi="等线(中文正文)" w:cs="等线(中文正文)" w:eastAsia="等线(中文正文)"/>
          <w:b w:val="false"/>
          <w:i w:val="false"/>
          <w:sz w:val="20"/>
        </w:rPr>
        <w:t>发言人1 答：国际化是必由之路。无论是起步于大中华区的富途老虎还是欧美市场的INTL Robinhood，都在积极推行国际化战略。以盈透为例，其通过逐步拓展全球布局，现已成为全球领先的互联网券商，为超过两百多个国家和地区的个人及机构投资者提供交易服务。中资互联网券商如富途也在跨境零售经济面临监管不确定性时，持续开拓国际市场。</w:t>
      </w:r>
    </w:p>
    <w:p>
      <w:r>
        <w:rPr>
          <w:rFonts w:ascii="等线(中文正文)" w:hAnsi="等线(中文正文)" w:cs="等线(中文正文)" w:eastAsia="等线(中文正文)"/>
          <w:b w:val="false"/>
          <w:i w:val="false"/>
          <w:sz w:val="20"/>
        </w:rPr>
        <w:t/>
      </w:r>
    </w:p>
    <w:p>
      <w:pPr>
        <w:pStyle w:val="ab"/>
      </w:pPr>
      <w:r>
        <w:t>发言人1 问：附图在国际化拓展方面的布局情况如何？</w:t>
      </w:r>
    </w:p>
    <w:p>
      <w:r>
        <w:rPr>
          <w:rFonts w:ascii="等线(中文正文)" w:hAnsi="等线(中文正文)" w:cs="等线(中文正文)" w:eastAsia="等线(中文正文)"/>
          <w:b w:val="false"/>
          <w:i w:val="false"/>
          <w:sz w:val="20"/>
        </w:rPr>
        <w:t>发言人1 答：附图以中国香港为起点，已布局至新加坡、美国、澳洲、日本、马来西亚、加拿大等多个地区。在一季度新增入境用户中，中国香港和马来西亚贡献显著，海外用户数占比超过55%，且客均资产规模远超当地互联网券商。各个海外市场收入同比实现高增长，即使在中国香港市场竞争激烈的情况下仍保持50%以上的市占率。公司正在积极申请新市场牌照，有望继续进入更多海外市场。</w:t>
      </w:r>
    </w:p>
    <w:p>
      <w:r>
        <w:rPr>
          <w:rFonts w:ascii="等线(中文正文)" w:hAnsi="等线(中文正文)" w:cs="等线(中文正文)" w:eastAsia="等线(中文正文)"/>
          <w:b w:val="false"/>
          <w:i w:val="false"/>
          <w:sz w:val="20"/>
        </w:rPr>
        <w:t/>
      </w:r>
    </w:p>
    <w:p>
      <w:pPr>
        <w:pStyle w:val="ab"/>
      </w:pPr>
      <w:r>
        <w:t>发言人1 问：国际化拓展中需要注意哪些关键因素？</w:t>
      </w:r>
    </w:p>
    <w:p>
      <w:r>
        <w:rPr>
          <w:rFonts w:ascii="等线(中文正文)" w:hAnsi="等线(中文正文)" w:cs="等线(中文正文)" w:eastAsia="等线(中文正文)"/>
          <w:b w:val="false"/>
          <w:i w:val="false"/>
          <w:sz w:val="20"/>
        </w:rPr>
        <w:t>发言人1 答：国际化拓展不仅需要打造领先的产品服务和技术能力，牌照布局和合规经营是先行条件，还要注重融入本地市场并做好本地化运营。同时，合规有助于长期缓解估值压力，例如盈透证券和罗binhood等国际互联网券商都面临过监管挑战，但随着监管政策的规范和调查的解决，相关压力会逐渐减轻。</w:t>
      </w:r>
    </w:p>
    <w:p>
      <w:r>
        <w:rPr>
          <w:rFonts w:ascii="等线(中文正文)" w:hAnsi="等线(中文正文)" w:cs="等线(中文正文)" w:eastAsia="等线(中文正文)"/>
          <w:b w:val="false"/>
          <w:i w:val="false"/>
          <w:sz w:val="20"/>
        </w:rPr>
        <w:t/>
      </w:r>
    </w:p>
    <w:p>
      <w:pPr>
        <w:pStyle w:val="ab"/>
      </w:pPr>
      <w:r>
        <w:t>发言人1 问：中资互联网券商相较于海外互联网券商，在估值上有何不同？中资互联网券商估值折价的主要原因是什么？</w:t>
      </w:r>
    </w:p>
    <w:p>
      <w:r>
        <w:rPr>
          <w:rFonts w:ascii="等线(中文正文)" w:hAnsi="等线(中文正文)" w:cs="等线(中文正文)" w:eastAsia="等线(中文正文)"/>
          <w:b w:val="false"/>
          <w:i w:val="false"/>
          <w:sz w:val="20"/>
        </w:rPr>
        <w:t>发言人1 答：目前，中资互联网券商如富途和老虎的估值相比海外同行存在明显折价。富途的股价分别交易在26年和27年的十倍和九倍市盈率，而海外互联网券商如招聘户对应今年42倍、明年33倍的估值，盈透则对应在今年31倍、明年28倍的估值，嘉信等成熟老牌互联网券商也对应在今年大约15倍左右的估值。中资互联网券商估值折价主要是由于过往投资者对中国内地监管持续担忧，这持续压制了这些公司的估值。但随着中国内地监管靴子落地，并且平台能够积极整改、拥抱监管，若能对标海外互联网券商的估值，长期来看，估值压力有望得到缓解。</w:t>
      </w:r>
    </w:p>
    <w:p>
      <w:r>
        <w:rPr>
          <w:rFonts w:ascii="等线(中文正文)" w:hAnsi="等线(中文正文)" w:cs="等线(中文正文)" w:eastAsia="等线(中文正文)"/>
          <w:b w:val="false"/>
          <w:i w:val="false"/>
          <w:sz w:val="20"/>
        </w:rPr>
        <w:t/>
      </w:r>
    </w:p>
    <w:p>
      <w:pPr>
        <w:pStyle w:val="ab"/>
      </w:pPr>
      <w:r>
        <w:t>发言人1 问：海外成熟互联网券商如何通过多元化布局来提升估值和盈利稳健性？互联网券商如何通过产品和服务多元化实现收入结构均衡稳定发展？</w:t>
      </w:r>
    </w:p>
    <w:p>
      <w:r>
        <w:rPr>
          <w:rFonts w:ascii="等线(中文正文)" w:hAnsi="等线(中文正文)" w:cs="等线(中文正文)" w:eastAsia="等线(中文正文)"/>
          <w:b w:val="false"/>
          <w:i w:val="false"/>
          <w:sz w:val="20"/>
        </w:rPr>
        <w:t>发言人1 答：海外成熟互联网券商如信达，从早期的折扣券商逐步发展为一站式综合财富管理平台。其收入结构逐渐从交易相关收入占主导转变为资产管理相关和净利息收入贡献较大。例如，信达的交易收入占比已从20年前的50%左右下降至目前的15%-16%，而资产管理及利息收入等多元化业务收入占比显著提升。以罗布户为例，其交易收入占比已从2020年的75%左右下降至目前的60%不到，转而由利息收入和其他多元化业务收入填补增长，其中预测市场收入贡献已占到10%左右。此外，罗布户还拓展了综合金融服务，包括订阅服务、信用卡服务、投资管理、私人银行等，进一步丰富了收入来源。</w:t>
      </w:r>
    </w:p>
    <w:p>
      <w:r>
        <w:rPr>
          <w:rFonts w:ascii="等线(中文正文)" w:hAnsi="等线(中文正文)" w:cs="等线(中文正文)" w:eastAsia="等线(中文正文)"/>
          <w:b w:val="false"/>
          <w:i w:val="false"/>
          <w:sz w:val="20"/>
        </w:rPr>
        <w:t/>
      </w:r>
    </w:p>
    <w:p>
      <w:pPr>
        <w:pStyle w:val="ab"/>
      </w:pPr>
      <w:r>
        <w:t>发言人1 问：中资互联网券商如何应对地缘经济冲突增加的背景下的业务挑战？</w:t>
      </w:r>
    </w:p>
    <w:p>
      <w:r>
        <w:rPr>
          <w:rFonts w:ascii="等线(中文正文)" w:hAnsi="等线(中文正文)" w:cs="等线(中文正文)" w:eastAsia="等线(中文正文)"/>
          <w:b w:val="false"/>
          <w:i w:val="false"/>
          <w:sz w:val="20"/>
        </w:rPr>
        <w:t>发言人1 答：中资互联网券商如富途，在多元化产品布局上持续拓展，除了美股港股交易外，还提供A股通、日股、马股等多种本地市场股票交易，并计划上线房产股交易。同时，富途积极布局财富管理和数字资产交易领域，近期获得美国预测市场经济无牌照资质，并完成控股香港持牌数字银行，深化AI战略，以国际市场的拓展和多元化的新业务、产品服务拓展推动公司收获中长期盈利和估值稳健增长。</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2026-06-14T07:28:33Z</dcterms:created>
  <dc:creator>Apache POI</dc:creator>
</cp:coreProperties>
</file>