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华特达因 260605_导读</w:t>
      </w:r>
    </w:p>
    <w:p>
      <w:pPr>
        <w:pStyle w:val="a0"/>
        <w:jc w:val="center"/>
      </w:pPr>
      <w:r>
        <w:t>2026年06月14日 15:08</w:t>
      </w:r>
    </w:p>
    <w:p>
      <w:pPr>
        <w:pStyle w:val="a7"/>
      </w:pPr>
      <w:r>
        <w:t>关键词</w:t>
      </w:r>
    </w:p>
    <w:p>
      <w:r>
        <w:rPr>
          <w:rFonts w:ascii="等线(中文正文)" w:hAnsi="等线(中文正文)" w:cs="等线(中文正文)" w:eastAsia="等线(中文正文)"/>
          <w:b w:val="false"/>
          <w:i w:val="false"/>
          <w:sz w:val="20"/>
        </w:rPr>
        <w:t xml:space="preserve">华福证券 医药团队 马德达因 樊总 伊可新 儿童药 大单品 现金流 分红 股东回报 营养健康 消费习惯 销售费用 毛利率 儿童褪黑素 阿诺特元素 DRCR曲线 伊可欣 VD 中期分红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福证券医药团队举行电话会议，探讨医药行业优质资产，特别关注华硕大英公司。会议由华北证券医药首席分析师及其同事主持，马德达因公司董事会秘书参与。讨论聚焦华硕大英在儿童药领域的专注、大单品伊可新的市场表现、财务稳定及应对行业挑战的策略。同时，探讨了公司在线上渠道的扩展、产品线的多元化，以及对未来的乐观预期和市场环境的看法。华硕大英强调长期发展与品牌建设，展示了面对市场波动的应对措施。</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华福证券医药团队与华硕大英董事会分享经营状况</w:t>
      </w:r>
    </w:p>
    <w:p>
      <w:r>
        <w:rPr>
          <w:rFonts w:ascii="等线(中文正文)" w:hAnsi="等线(中文正文)" w:cs="等线(中文正文)" w:eastAsia="等线(中文正文)"/>
          <w:b w:val="false"/>
          <w:i w:val="false"/>
          <w:sz w:val="20"/>
        </w:rPr>
        <w:t>华福证券医药团队组织电话会，分享华硕大英近期经营情况。华硕大英聚焦儿童药业务，拳头产品伊可新贡献高收入，同时拓展儿童营养健康产品和精神治疗药品。尽管线下药店市场波动，公司仍保持业绩稳健。</w:t>
      </w:r>
    </w:p>
    <w:p>
      <w:r>
        <w:rPr>
          <w:rFonts w:ascii="等线(中文正文)" w:hAnsi="等线(中文正文)" w:cs="等线(中文正文)" w:eastAsia="等线(中文正文)"/>
          <w:b w:val="false"/>
          <w:i w:val="false"/>
          <w:sz w:val="20"/>
        </w:rPr>
        <w:t/>
      </w:r>
    </w:p>
    <w:p>
      <w:pPr>
        <w:pStyle w:val="ab"/>
        <w:numPr>
          <w:numId w:val="2"/>
        </w:numPr>
      </w:pPr>
      <w:r>
        <w:t>05:19 儿童药企业面临市场挑战与未来展望</w:t>
      </w:r>
    </w:p>
    <w:p>
      <w:r>
        <w:rPr>
          <w:rFonts w:ascii="等线(中文正文)" w:hAnsi="等线(中文正文)" w:cs="等线(中文正文)" w:eastAsia="等线(中文正文)"/>
          <w:b w:val="false"/>
          <w:i w:val="false"/>
          <w:sz w:val="20"/>
        </w:rPr>
        <w:t>一季度业绩下滑，归因于经济环境、消费者行为变化、药店收缩、市场竞争加剧及出生率下降等多因素叠加。尽管短期内市场压力较大，企业正通过产品与营养健康领域的拓展，以及线上渠道的加强，寻求增量空间。长期看，依托品牌影响力和多年积累，企业对穿越市场调整期，实现未来持续发展充满信心。</w:t>
      </w:r>
    </w:p>
    <w:p>
      <w:r>
        <w:rPr>
          <w:rFonts w:ascii="等线(中文正文)" w:hAnsi="等线(中文正文)" w:cs="等线(中文正文)" w:eastAsia="等线(中文正文)"/>
          <w:b w:val="false"/>
          <w:i w:val="false"/>
          <w:sz w:val="20"/>
        </w:rPr>
        <w:t/>
      </w:r>
    </w:p>
    <w:p>
      <w:pPr>
        <w:pStyle w:val="ab"/>
        <w:numPr>
          <w:numId w:val="3"/>
        </w:numPr>
      </w:pPr>
      <w:r>
        <w:t>09:14 婴幼儿营养品市场策略与增长趋势分析</w:t>
      </w:r>
    </w:p>
    <w:p>
      <w:r>
        <w:rPr>
          <w:rFonts w:ascii="等线(中文正文)" w:hAnsi="等线(中文正文)" w:cs="等线(中文正文)" w:eastAsia="等线(中文正文)"/>
          <w:b w:val="false"/>
          <w:i w:val="false"/>
          <w:sz w:val="20"/>
        </w:rPr>
        <w:t>对话围绕婴幼儿营养品市场，特别是0-6岁年龄段产品的渗透率和渠道建设展开。提及粉色装和绿色装产品的市场表现，绿色装受新生儿下降影响较大，而粉色装增长明显。公司正通过线上线下渠道，尤其是加强与药店的合作及线上平台的推广，来提升市场认知度和销售。未来目标是扩大0-6岁市场的渗透率，通过线上渠道的增长弥补环境周期的挑战，预计长期增长趋势可弥补现有渠道影响。</w:t>
      </w:r>
    </w:p>
    <w:p>
      <w:r>
        <w:rPr>
          <w:rFonts w:ascii="等线(中文正文)" w:hAnsi="等线(中文正文)" w:cs="等线(中文正文)" w:eastAsia="等线(中文正文)"/>
          <w:b w:val="false"/>
          <w:i w:val="false"/>
          <w:sz w:val="20"/>
        </w:rPr>
        <w:t/>
      </w:r>
    </w:p>
    <w:p>
      <w:pPr>
        <w:pStyle w:val="ab"/>
        <w:numPr>
          <w:numId w:val="4"/>
        </w:numPr>
      </w:pPr>
      <w:r>
        <w:t>14:29 线上药妆与营养品销售趋势分析</w:t>
      </w:r>
    </w:p>
    <w:p>
      <w:r>
        <w:rPr>
          <w:rFonts w:ascii="等线(中文正文)" w:hAnsi="等线(中文正文)" w:cs="等线(中文正文)" w:eastAsia="等线(中文正文)"/>
          <w:b w:val="false"/>
          <w:i w:val="false"/>
          <w:sz w:val="20"/>
        </w:rPr>
        <w:t>对话讨论了线上销售在药妆品类中的占比与增速，指出线上已占整体25%，增速从前几年的两位数放缓至今年的数十增长，尤其营养品去年增速超100%，达到亿元规模，今年增幅虽减缓但仍可观。药品数据未单独列出，部分药品与营养品套装销售，线上趋势被看好。</w:t>
      </w:r>
    </w:p>
    <w:p>
      <w:r>
        <w:rPr>
          <w:rFonts w:ascii="等线(中文正文)" w:hAnsi="等线(中文正文)" w:cs="等线(中文正文)" w:eastAsia="等线(中文正文)"/>
          <w:b w:val="false"/>
          <w:i w:val="false"/>
          <w:sz w:val="20"/>
        </w:rPr>
        <w:t/>
      </w:r>
    </w:p>
    <w:p>
      <w:pPr>
        <w:pStyle w:val="ab"/>
        <w:numPr>
          <w:numId w:val="5"/>
        </w:numPr>
      </w:pPr>
      <w:r>
        <w:t>16:07 线下药店终端销售与毛利率变化分析</w:t>
      </w:r>
    </w:p>
    <w:p>
      <w:r>
        <w:rPr>
          <w:rFonts w:ascii="等线(中文正文)" w:hAnsi="等线(中文正文)" w:cs="等线(中文正文)" w:eastAsia="等线(中文正文)"/>
          <w:b w:val="false"/>
          <w:i w:val="false"/>
          <w:sz w:val="20"/>
        </w:rPr>
        <w:t>讨论了从去年到今年终端药店销售情况的变化，指出尽管年初基数较高导致同比压力大，但终端销售已趋于稳定，甚至部分恢复。提及了线上与线下价格平衡策略对线下销售的促进作用，以及促销活动对毛利率的影响。强调了销售费用虽有增加，但通过优化推广方式和增加返利折扣，提升了销售效率和费用占比。</w:t>
      </w:r>
    </w:p>
    <w:p>
      <w:r>
        <w:rPr>
          <w:rFonts w:ascii="等线(中文正文)" w:hAnsi="等线(中文正文)" w:cs="等线(中文正文)" w:eastAsia="等线(中文正文)"/>
          <w:b w:val="false"/>
          <w:i w:val="false"/>
          <w:sz w:val="20"/>
        </w:rPr>
        <w:t/>
      </w:r>
    </w:p>
    <w:p>
      <w:pPr>
        <w:pStyle w:val="ab"/>
        <w:numPr>
          <w:numId w:val="6"/>
        </w:numPr>
      </w:pPr>
      <w:r>
        <w:t>21:54 儿童褪黑素与地形VD市场分析及展望</w:t>
      </w:r>
    </w:p>
    <w:p>
      <w:r>
        <w:rPr>
          <w:rFonts w:ascii="等线(中文正文)" w:hAnsi="等线(中文正文)" w:cs="等线(中文正文)" w:eastAsia="等线(中文正文)"/>
          <w:b w:val="false"/>
          <w:i w:val="false"/>
          <w:sz w:val="20"/>
        </w:rPr>
        <w:t>讨论了儿童褪黑素产品在医院和线上销售的现状，指出其受特定群体关注，尤其是精神障碍儿童的睡眠辅助治疗，虽规模不大但需求充足。同时提及地形VD市场受整体市场影响，业绩下降，与伊可欣情况类似，未来将逐步跟进市场策略。</w:t>
      </w:r>
    </w:p>
    <w:p>
      <w:r>
        <w:rPr>
          <w:rFonts w:ascii="等线(中文正文)" w:hAnsi="等线(中文正文)" w:cs="等线(中文正文)" w:eastAsia="等线(中文正文)"/>
          <w:b w:val="false"/>
          <w:i w:val="false"/>
          <w:sz w:val="20"/>
        </w:rPr>
        <w:t/>
      </w:r>
    </w:p>
    <w:p>
      <w:pPr>
        <w:pStyle w:val="ab"/>
        <w:numPr>
          <w:numId w:val="7"/>
        </w:numPr>
      </w:pPr>
      <w:r>
        <w:t>25:15 药店渠道运营与销售提升策略</w:t>
      </w:r>
    </w:p>
    <w:p>
      <w:r>
        <w:rPr>
          <w:rFonts w:ascii="等线(中文正文)" w:hAnsi="等线(中文正文)" w:cs="等线(中文正文)" w:eastAsia="等线(中文正文)"/>
          <w:b w:val="false"/>
          <w:i w:val="false"/>
          <w:sz w:val="20"/>
        </w:rPr>
        <w:t>对话围绕药店渠道运营展开，讨论了通过增加推广力度、优化结算位置等方式提升销售的策略。提及一季度同比销售下降，去年运营不佳的情况，但强调持续沟通以稳定运营，利用渠道优势和产品关系委托专业团队运营。</w:t>
      </w:r>
    </w:p>
    <w:p>
      <w:r>
        <w:rPr>
          <w:rFonts w:ascii="等线(中文正文)" w:hAnsi="等线(中文正文)" w:cs="等线(中文正文)" w:eastAsia="等线(中文正文)"/>
          <w:b w:val="false"/>
          <w:i w:val="false"/>
          <w:sz w:val="20"/>
        </w:rPr>
        <w:t/>
      </w:r>
    </w:p>
    <w:p>
      <w:pPr>
        <w:pStyle w:val="ab"/>
        <w:numPr>
          <w:numId w:val="8"/>
        </w:numPr>
      </w:pPr>
      <w:r>
        <w:t>26:38 公司分红策略与高管信心探讨</w:t>
      </w:r>
    </w:p>
    <w:p>
      <w:r>
        <w:rPr>
          <w:rFonts w:ascii="等线(中文正文)" w:hAnsi="等线(中文正文)" w:cs="等线(中文正文)" w:eastAsia="等线(中文正文)"/>
          <w:b w:val="false"/>
          <w:i w:val="false"/>
          <w:sz w:val="20"/>
        </w:rPr>
        <w:t>对话围绕公司分红策略展开，讨论了中期与年度分红的大致比例规划，以及在无资金需求情况下的利润分配倾向。提到未来可能延续中期分红，并计划在年末根据业绩情况综合考虑分红比例，甚至可能达到100%或以上。此外，高管参与分红被视作对公司信心的体现。</w:t>
      </w:r>
    </w:p>
    <w:p>
      <w:r>
        <w:rPr>
          <w:rFonts w:ascii="等线(中文正文)" w:hAnsi="等线(中文正文)" w:cs="等线(中文正文)" w:eastAsia="等线(中文正文)"/>
          <w:b w:val="false"/>
          <w:i w:val="false"/>
          <w:sz w:val="20"/>
        </w:rPr>
        <w:t/>
      </w:r>
    </w:p>
    <w:p>
      <w:pPr>
        <w:pStyle w:val="ab"/>
        <w:numPr>
          <w:numId w:val="9"/>
        </w:numPr>
      </w:pPr>
      <w:r>
        <w:t>31:08 公司长远发展信心与学校纠纷处理进展</w:t>
      </w:r>
    </w:p>
    <w:p>
      <w:r>
        <w:rPr>
          <w:rFonts w:ascii="等线(中文正文)" w:hAnsi="等线(中文正文)" w:cs="等线(中文正文)" w:eastAsia="等线(中文正文)"/>
          <w:b w:val="false"/>
          <w:i w:val="false"/>
          <w:sz w:val="20"/>
        </w:rPr>
        <w:t>管理团队基于公司长远发展信心稳定市场预期，尽管一季度股价下调。关于学校纠纷，因法规调整导致出资者不利，正通过诉讼解决，对主业无影响。预计短期内财务影响不大，未来处理将依据诉讼结果。</w:t>
      </w:r>
    </w:p>
    <w:p>
      <w:r>
        <w:rPr>
          <w:rFonts w:ascii="等线(中文正文)" w:hAnsi="等线(中文正文)" w:cs="等线(中文正文)" w:eastAsia="等线(中文正文)"/>
          <w:b w:val="false"/>
          <w:i w:val="false"/>
          <w:sz w:val="20"/>
        </w:rPr>
        <w:t/>
      </w:r>
    </w:p>
    <w:p>
      <w:pPr>
        <w:pStyle w:val="ab"/>
        <w:numPr>
          <w:numId w:val="10"/>
        </w:numPr>
      </w:pPr>
      <w:r>
        <w:t>35:23 公司现状与未来展望：投资者会议总结</w:t>
      </w:r>
    </w:p>
    <w:p>
      <w:r>
        <w:rPr>
          <w:rFonts w:ascii="等线(中文正文)" w:hAnsi="等线(中文正文)" w:cs="等线(中文正文)" w:eastAsia="等线(中文正文)"/>
          <w:b w:val="false"/>
          <w:i w:val="false"/>
          <w:sz w:val="20"/>
        </w:rPr>
        <w:t>会议中，公司总结了当前面临的行业波动和环境影响，但强调了长期发展的信心，指出公司通过成熟体系和品牌影响力维持良好经营成果。投资者表达了对公司品牌和增量动作的认可，期待公司未来发展，会议在感谢投资者参与中结束。</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他主持的电话会议由华福证券医药团队组织，主题为医药高峰期优质资产群体交流。他首先表达了对参与人员的欢迎，并介绍了自己及同事的身份。随后，邀请马德达因公司的董事会秘书进行互动分享，重点讨论了黄达一公司在医药板块的优质资产情况，强调了公司对股东回报的重视及经营稳健性。
他分享了公司近年来在儿童药领域的专注与发展，特别提到了子公司达人药业在业绩中的重要贡献，以及公司在品类扩展和新药引进方面的努力。面对行业调整和波动，公司通过加强线上渠道和品牌建设，致力于维持稳健业绩。
在问答环节，他回答了投资者关于公司整体业绩、渠道建设、未来战略方向及财务策略的问题。他强调，尽管面临短期挑战，但公司对未来充满信心，通过持续的产品创新、市场拓展和品牌建设，期待实现可持续增长。会议最后，他感谢投资者参与，表达了对公司未来发展的乐观期待。</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问：先简单做一个开场，接下来请樊总给大家简单来介绍一下，更新一下咱们公司的近期的经营情况。</w:t>
      </w:r>
    </w:p>
    <w:p>
      <w:r>
        <w:rPr>
          <w:rFonts w:ascii="等线(中文正文)" w:hAnsi="等线(中文正文)" w:cs="等线(中文正文)" w:eastAsia="等线(中文正文)"/>
          <w:b w:val="false"/>
          <w:i w:val="false"/>
          <w:sz w:val="20"/>
        </w:rPr>
        <w:t>发言人1 答：我先更新一下公司情况，也谢谢大家关注公司。自2021年以来，公司进一步聚焦儿童药主业，其中子公司达人药业占公司整体上市公司业绩的98%以上。公司的拳头产品是一颗星，占收入和利润比重较高。近年来，我们在儿童领域不断拓展，包括医药品类延伸和重点病种覆盖，去年引入了治疗睡眠障碍的退黑素颗粒，并在今年开始逐步上市销售。此外，我们也拓展了营养健康产品线，如针对儿童基础营养、免疫健康、骨骼身高发育等需求的保健食品和药品。</w:t>
      </w:r>
    </w:p>
    <w:p>
      <w:r>
        <w:rPr>
          <w:rFonts w:ascii="等线(中文正文)" w:hAnsi="等线(中文正文)" w:cs="等线(中文正文)" w:eastAsia="等线(中文正文)"/>
          <w:b w:val="false"/>
          <w:i w:val="false"/>
          <w:sz w:val="20"/>
        </w:rPr>
        <w:t/>
      </w:r>
    </w:p>
    <w:p>
      <w:pPr>
        <w:pStyle w:val="ab"/>
      </w:pPr>
      <w:r>
        <w:t>发言人1 问：对于未来，目前市场环境和细分赛道领域压力较大，您认为未来几年是否会有一个很好的扭转？</w:t>
      </w:r>
    </w:p>
    <w:p>
      <w:r>
        <w:rPr>
          <w:rFonts w:ascii="等线(中文正文)" w:hAnsi="等线(中文正文)" w:cs="等线(中文正文)" w:eastAsia="等线(中文正文)"/>
          <w:b w:val="false"/>
          <w:i w:val="false"/>
          <w:sz w:val="20"/>
        </w:rPr>
        <w:t>发言人1 答：从短期来看，今年乃至明年年初，整个市场环境和我们细分赛道领域的压力仍然较大。公司希望通过产品拓展、营养健康产品的开发以及线上渠道的努力，在原有基础上增加增量，但原有规模产品的基数较大，所以这个过程需要时间。不过，公司多年致力于儿童药领域，品牌知名度不断提升，且在最近的品牌价值评估中，品牌价值比去年有所提升。因此，我们相信这些拓展工作将有助于公司在市场调整过后能够继续健康发展。</w:t>
      </w:r>
    </w:p>
    <w:p>
      <w:r>
        <w:rPr>
          <w:rFonts w:ascii="等线(中文正文)" w:hAnsi="等线(中文正文)" w:cs="等线(中文正文)" w:eastAsia="等线(中文正文)"/>
          <w:b w:val="false"/>
          <w:i w:val="false"/>
          <w:sz w:val="20"/>
        </w:rPr>
        <w:t/>
      </w:r>
    </w:p>
    <w:p>
      <w:pPr>
        <w:pStyle w:val="ab"/>
      </w:pPr>
      <w:r>
        <w:t>发言人1 问：针对0到1岁和1岁以上人群，我们目前这两个年龄段的占比以及后续的渗透率是怎样的？我们未来有哪些增量的策略和目标？</w:t>
      </w:r>
    </w:p>
    <w:p>
      <w:r>
        <w:rPr>
          <w:rFonts w:ascii="等线(中文正文)" w:hAnsi="等线(中文正文)" w:cs="等线(中文正文)" w:eastAsia="等线(中文正文)"/>
          <w:b w:val="false"/>
          <w:i w:val="false"/>
          <w:sz w:val="20"/>
        </w:rPr>
        <w:t>发言人1 答：目前尚未提供今年的具体数据，但从去年的数据来看，0到1岁以上人群粉色装和绿色装的占比已有较大提升，比例接近2比1。对于未来，由于绿色装受到新生儿下降的影响，目前确实影响较大。关于具体的年龄段渗透率增量和线上增量的战略规划，以及总体目标，还需进一步提供更新的数据和详细说明。</w:t>
      </w:r>
    </w:p>
    <w:p>
      <w:r>
        <w:rPr>
          <w:rFonts w:ascii="等线(中文正文)" w:hAnsi="等线(中文正文)" w:cs="等线(中文正文)" w:eastAsia="等线(中文正文)"/>
          <w:b w:val="false"/>
          <w:i w:val="false"/>
          <w:sz w:val="20"/>
        </w:rPr>
        <w:t/>
      </w:r>
    </w:p>
    <w:p>
      <w:pPr>
        <w:pStyle w:val="ab"/>
      </w:pPr>
      <w:r>
        <w:t>发言人1 问：去年粉色装和绿色装的市场表现如何？公司近期在哪些方面做了市场推广活动？</w:t>
      </w:r>
    </w:p>
    <w:p>
      <w:r>
        <w:rPr>
          <w:rFonts w:ascii="等线(中文正文)" w:hAnsi="等线(中文正文)" w:cs="等线(中文正文)" w:eastAsia="等线(中文正文)"/>
          <w:b w:val="false"/>
          <w:i w:val="false"/>
          <w:sz w:val="20"/>
        </w:rPr>
        <w:t>发言人1 答：去年粉色装增长，绿色装主要下降，整体趋势有所波动。对于0到6岁的市场，虽然目前还没有准确的数据，但通过我们的工作发现这个年龄段还有很大的提升空间。我们正在与药店进行互动活动，目的是让更多家长了解并关注AD每日服用的习惯，尤其是针对较大一些的孩子群体，希望通过这些活动提升市场认知度。</w:t>
      </w:r>
    </w:p>
    <w:p>
      <w:r>
        <w:rPr>
          <w:rFonts w:ascii="等线(中文正文)" w:hAnsi="等线(中文正文)" w:cs="等线(中文正文)" w:eastAsia="等线(中文正文)"/>
          <w:b w:val="false"/>
          <w:i w:val="false"/>
          <w:sz w:val="20"/>
        </w:rPr>
        <w:t/>
      </w:r>
    </w:p>
    <w:p>
      <w:pPr>
        <w:pStyle w:val="ab"/>
      </w:pPr>
      <w:r>
        <w:t>发言人1 问：线上和其他营养品市场的现状如何？</w:t>
      </w:r>
    </w:p>
    <w:p>
      <w:r>
        <w:rPr>
          <w:rFonts w:ascii="等线(中文正文)" w:hAnsi="等线(中文正文)" w:cs="等线(中文正文)" w:eastAsia="等线(中文正文)"/>
          <w:b w:val="false"/>
          <w:i w:val="false"/>
          <w:sz w:val="20"/>
        </w:rPr>
        <w:t>发言人1 答：线上渠道的规模相对较小，大概占到整体市场的25%左右，而大头仍然是在药店和医院。尽管线上药品和营养品的整体规模基数较小，但增长趋势明显，且随着线上渠道的发展，预计会有进一步的增长。</w:t>
      </w:r>
    </w:p>
    <w:p>
      <w:r>
        <w:rPr>
          <w:rFonts w:ascii="等线(中文正文)" w:hAnsi="等线(中文正文)" w:cs="等线(中文正文)" w:eastAsia="等线(中文正文)"/>
          <w:b w:val="false"/>
          <w:i w:val="false"/>
          <w:sz w:val="20"/>
        </w:rPr>
        <w:t/>
      </w:r>
    </w:p>
    <w:p>
      <w:pPr>
        <w:pStyle w:val="ab"/>
      </w:pPr>
      <w:r>
        <w:t>发言人1 问：线上业务未来的增速展望是怎样的？</w:t>
      </w:r>
    </w:p>
    <w:p>
      <w:r>
        <w:rPr>
          <w:rFonts w:ascii="等线(中文正文)" w:hAnsi="等线(中文正文)" w:cs="等线(中文正文)" w:eastAsia="等线(中文正文)"/>
          <w:b w:val="false"/>
          <w:i w:val="false"/>
          <w:sz w:val="20"/>
        </w:rPr>
        <w:t>发言人1 答：线上药品类别增速前些年较快，去年营养品类别的增速超过百分之百，达到一个亿的销售额。今年增速虽有所放缓，但仍保持几十的增长率。线上业务虽然目前占比不如线下，但未来仍有可观的增长空间。</w:t>
      </w:r>
    </w:p>
    <w:p>
      <w:r>
        <w:rPr>
          <w:rFonts w:ascii="等线(中文正文)" w:hAnsi="等线(中文正文)" w:cs="等线(中文正文)" w:eastAsia="等线(中文正文)"/>
          <w:b w:val="false"/>
          <w:i w:val="false"/>
          <w:sz w:val="20"/>
        </w:rPr>
        <w:t/>
      </w:r>
    </w:p>
    <w:p>
      <w:pPr>
        <w:pStyle w:val="ab"/>
      </w:pPr>
      <w:r>
        <w:t>发言人1 问：线下药店终端的情况如何？</w:t>
      </w:r>
    </w:p>
    <w:p>
      <w:r>
        <w:rPr>
          <w:rFonts w:ascii="等线(中文正文)" w:hAnsi="等线(中文正文)" w:cs="等线(中文正文)" w:eastAsia="等线(中文正文)"/>
          <w:b w:val="false"/>
          <w:i w:val="false"/>
          <w:sz w:val="20"/>
        </w:rPr>
        <w:t>发言人1 答：线下药店终端从去年开始企稳，甚至有些药店反馈没有继续下滑，而是有所回升。从二季度数据来看，虽然同比压力仍然较大，但发货情况表明终端销售状况可能相对去年有所好转。同时，为了稳定整体情况，我们在平衡线上线下的价格时，也采取了一些措施来促进线下终端的销售。</w:t>
      </w:r>
    </w:p>
    <w:p>
      <w:r>
        <w:rPr>
          <w:rFonts w:ascii="等线(中文正文)" w:hAnsi="等线(中文正文)" w:cs="等线(中文正文)" w:eastAsia="等线(中文正文)"/>
          <w:b w:val="false"/>
          <w:i w:val="false"/>
          <w:sz w:val="20"/>
        </w:rPr>
        <w:t/>
      </w:r>
    </w:p>
    <w:p>
      <w:pPr>
        <w:pStyle w:val="ab"/>
      </w:pPr>
      <w:r>
        <w:t>发言人1 问：关于毛利率变化趋势及促销活动的影响？</w:t>
      </w:r>
    </w:p>
    <w:p>
      <w:r>
        <w:rPr>
          <w:rFonts w:ascii="等线(中文正文)" w:hAnsi="等线(中文正文)" w:cs="等线(中文正文)" w:eastAsia="等线(中文正文)"/>
          <w:b w:val="false"/>
          <w:i w:val="false"/>
          <w:sz w:val="20"/>
        </w:rPr>
        <w:t>发言人1 答：整体毛利率变化不大，主要受产品结构影响。随着药品和营养品占比增加，毛利率可能会有所下降，但单个产品的毛利率变化不大。今年我们的工作重点是保持价格稳定，以应对产品结构变化带来的影响。</w:t>
      </w:r>
    </w:p>
    <w:p>
      <w:r>
        <w:rPr>
          <w:rFonts w:ascii="等线(中文正文)" w:hAnsi="等线(中文正文)" w:cs="等线(中文正文)" w:eastAsia="等线(中文正文)"/>
          <w:b w:val="false"/>
          <w:i w:val="false"/>
          <w:sz w:val="20"/>
        </w:rPr>
        <w:t/>
      </w:r>
    </w:p>
    <w:p>
      <w:pPr>
        <w:pStyle w:val="ab"/>
      </w:pPr>
      <w:r>
        <w:t>发言人1 问：销售费用投入方面有何考虑？</w:t>
      </w:r>
    </w:p>
    <w:p>
      <w:r>
        <w:rPr>
          <w:rFonts w:ascii="等线(中文正文)" w:hAnsi="等线(中文正文)" w:cs="等线(中文正文)" w:eastAsia="等线(中文正文)"/>
          <w:b w:val="false"/>
          <w:i w:val="false"/>
          <w:sz w:val="20"/>
        </w:rPr>
        <w:t>发言人1 答：销售费用的投入会根据促销活动对毛利的影响进行调整。虽然总体推广费用可能会增加，但也会更注重费用的有效性，比如通过优化推广方式和策略来提高效率，避免盲目增加支出。例如，在第一季度销售费用下降，并非推广力度减少，而是出于对费用使用效果的审慎考虑。</w:t>
      </w:r>
    </w:p>
    <w:p>
      <w:r>
        <w:rPr>
          <w:rFonts w:ascii="等线(中文正文)" w:hAnsi="等线(中文正文)" w:cs="等线(中文正文)" w:eastAsia="等线(中文正文)"/>
          <w:b w:val="false"/>
          <w:i w:val="false"/>
          <w:sz w:val="20"/>
        </w:rPr>
        <w:t/>
      </w:r>
    </w:p>
    <w:p>
      <w:pPr>
        <w:pStyle w:val="ab"/>
      </w:pPr>
      <w:r>
        <w:t>发言人1 问：我们今年在销售力度加大后，整体变化是怎样的情况？</w:t>
      </w:r>
    </w:p>
    <w:p>
      <w:r>
        <w:rPr>
          <w:rFonts w:ascii="等线(中文正文)" w:hAnsi="等线(中文正文)" w:cs="等线(中文正文)" w:eastAsia="等线(中文正文)"/>
          <w:b w:val="false"/>
          <w:i w:val="false"/>
          <w:sz w:val="20"/>
        </w:rPr>
        <w:t>发言人1 答：总体上，我们虽然加大了销售力度，但总体变化呈现两个不同方向。结果是占比可能会上升，即使在同比情况下金额不见得增长，但在比例上会有提升。此外，除了费用外，我们还增加了返利和折扣等措施。</w:t>
      </w:r>
    </w:p>
    <w:p>
      <w:r>
        <w:rPr>
          <w:rFonts w:ascii="等线(中文正文)" w:hAnsi="等线(中文正文)" w:cs="等线(中文正文)" w:eastAsia="等线(中文正文)"/>
          <w:b w:val="false"/>
          <w:i w:val="false"/>
          <w:sz w:val="20"/>
        </w:rPr>
        <w:t/>
      </w:r>
    </w:p>
    <w:p>
      <w:pPr>
        <w:pStyle w:val="ab"/>
      </w:pPr>
      <w:r>
        <w:t>发言人1 问：关于DRCR曲线布局和阿诺特元素产品的战略及目前经验能否分享一下？</w:t>
      </w:r>
    </w:p>
    <w:p>
      <w:r>
        <w:rPr>
          <w:rFonts w:ascii="等线(中文正文)" w:hAnsi="等线(中文正文)" w:cs="等线(中文正文)" w:eastAsia="等线(中文正文)"/>
          <w:b w:val="false"/>
          <w:i w:val="false"/>
          <w:sz w:val="20"/>
        </w:rPr>
        <w:t>发言人1 答：阿诺特元素产品今年刚起步，目前增速非常不错。特别是在儿童褪黑素方面，在京东阿里平台已开始销售，并且被国内多家医院采用，尽管采用零采方式，但由于药师委员会周期不确定，所以销售主要以零采为主。尽管今年整体规模预计不会特别大，但产品已受到医生和特定患者群体的关注与欢迎，尤其是在精神障碍儿童，尤其是孤独症和多动症儿童的睡眠辅助治疗领域，市场需求较大且反馈良好。</w:t>
      </w:r>
    </w:p>
    <w:p>
      <w:r>
        <w:rPr>
          <w:rFonts w:ascii="等线(中文正文)" w:hAnsi="等线(中文正文)" w:cs="等线(中文正文)" w:eastAsia="等线(中文正文)"/>
          <w:b w:val="false"/>
          <w:i w:val="false"/>
          <w:sz w:val="20"/>
        </w:rPr>
        <w:t/>
      </w:r>
    </w:p>
    <w:p>
      <w:pPr>
        <w:pStyle w:val="ab"/>
      </w:pPr>
      <w:r>
        <w:t>发言人1 问：地形VD这边目前的情况及未来展望如何？</w:t>
      </w:r>
    </w:p>
    <w:p>
      <w:r>
        <w:rPr>
          <w:rFonts w:ascii="等线(中文正文)" w:hAnsi="等线(中文正文)" w:cs="等线(中文正文)" w:eastAsia="等线(中文正文)"/>
          <w:b w:val="false"/>
          <w:i w:val="false"/>
          <w:sz w:val="20"/>
        </w:rPr>
        <w:t>发言人1 答：地形VD方面，由于市场整体环境的影响，业绩也有所下降，但目前情况正在好转，药店渠道推广力度增加，销售情况同比虽不如一季度，但仍保持在一定水平。目前委托药店运营，持续沟通以稳定销售情况。</w:t>
      </w:r>
    </w:p>
    <w:p>
      <w:r>
        <w:rPr>
          <w:rFonts w:ascii="等线(中文正文)" w:hAnsi="等线(中文正文)" w:cs="等线(中文正文)" w:eastAsia="等线(中文正文)"/>
          <w:b w:val="false"/>
          <w:i w:val="false"/>
          <w:sz w:val="20"/>
        </w:rPr>
        <w:t/>
      </w:r>
    </w:p>
    <w:p>
      <w:pPr>
        <w:pStyle w:val="ab"/>
      </w:pPr>
      <w:r>
        <w:t>发言人1 问：关于药品主业的分红规划，我们是否有中期分红或未来的年度分红的大致比例预期？</w:t>
      </w:r>
    </w:p>
    <w:p>
      <w:r>
        <w:rPr>
          <w:rFonts w:ascii="等线(中文正文)" w:hAnsi="等线(中文正文)" w:cs="等线(中文正文)" w:eastAsia="等线(中文正文)"/>
          <w:b w:val="false"/>
          <w:i w:val="false"/>
          <w:sz w:val="20"/>
        </w:rPr>
        <w:t>发言人1 答：目前没有大的资金需求，短期内包括今年在内，除非有特别好的项目，否则利润分配比例可能会较高，甚至超过当年净利润。具体超过幅度和分红金额会根据实际情况确定，尽量保持相对稳定的分红金额。对于中期分红和未来年度分红，虽然还未具体沟通，但根据业绩情况，可能会考虑并实施。</w:t>
      </w:r>
    </w:p>
    <w:p>
      <w:r>
        <w:rPr>
          <w:rFonts w:ascii="等线(中文正文)" w:hAnsi="等线(中文正文)" w:cs="等线(中文正文)" w:eastAsia="等线(中文正文)"/>
          <w:b w:val="false"/>
          <w:i w:val="false"/>
          <w:sz w:val="20"/>
        </w:rPr>
        <w:t/>
      </w:r>
    </w:p>
    <w:p>
      <w:pPr>
        <w:pStyle w:val="ab"/>
      </w:pPr>
      <w:r>
        <w:t>发言人1 问：长远公司信心方面，管理团队基于长远发展信心做了哪些举措，以及现在卧龙学校的情况和可能影响是什么？</w:t>
      </w:r>
    </w:p>
    <w:p>
      <w:r>
        <w:rPr>
          <w:rFonts w:ascii="等线(中文正文)" w:hAnsi="等线(中文正文)" w:cs="等线(中文正文)" w:eastAsia="等线(中文正文)"/>
          <w:b w:val="false"/>
          <w:i w:val="false"/>
          <w:sz w:val="20"/>
        </w:rPr>
        <w:t>发言人1 答：管理团队出于对长远发展的信心，为了稳定短期市场预期，进行了资产增值操作。尽管一季度披露后股价有所下调，但管理团队从长期持有角度出发。关于卧龙学校的问题，目前处于诉讼阶段，由于法规调整导致出资者权益存在争议，尤其是对于非盈利性的民办学校。学校承担了公益招生任务，而对方在开办过程中也承担了成本，这造成了分歧。短期内，对主业的影响不会特别大，折旧和减值准备已计提两年，未来根据判决结果会做相应财务处理。</w:t>
      </w:r>
    </w:p>
    <w:p>
      <w:r>
        <w:rPr>
          <w:rFonts w:ascii="等线(中文正文)" w:hAnsi="等线(中文正文)" w:cs="等线(中文正文)" w:eastAsia="等线(中文正文)"/>
          <w:b w:val="false"/>
          <w:i w:val="false"/>
          <w:sz w:val="20"/>
        </w:rPr>
        <w:t/>
      </w:r>
    </w:p>
    <w:p>
      <w:pPr>
        <w:pStyle w:val="ab"/>
      </w:pPr>
      <w:r>
        <w:t>发言人1 问：针对卧龙学校的争议，其结果对公司财务报表的具体影响如何？</w:t>
      </w:r>
    </w:p>
    <w:p>
      <w:r>
        <w:rPr>
          <w:rFonts w:ascii="等线(中文正文)" w:hAnsi="等线(中文正文)" w:cs="等线(中文正文)" w:eastAsia="等线(中文正文)"/>
          <w:b w:val="false"/>
          <w:i w:val="false"/>
          <w:sz w:val="20"/>
        </w:rPr>
        <w:t>发言人1 答：最终结果尚未确定，若支持公司，将对报表有利；若不利，则会对出资造成损失。尽管目前母公司的报表上总投资约为七千多万，但总资产可能达到一个多亿，具体影响需通过诉讼或协商解决。</w:t>
      </w:r>
    </w:p>
    <w:p>
      <w:r>
        <w:rPr>
          <w:rFonts w:ascii="等线(中文正文)" w:hAnsi="等线(中文正文)" w:cs="等线(中文正文)" w:eastAsia="等线(中文正文)"/>
          <w:b w:val="false"/>
          <w:i w:val="false"/>
          <w:sz w:val="20"/>
        </w:rPr>
        <w:t/>
      </w:r>
    </w:p>
    <w:p>
      <w:pPr>
        <w:pStyle w:val="ab"/>
      </w:pPr>
      <w:r>
        <w:t>发言人1 问：投资者提问环节是如何进行的？</w:t>
      </w:r>
    </w:p>
    <w:p>
      <w:r>
        <w:rPr>
          <w:rFonts w:ascii="等线(中文正文)" w:hAnsi="等线(中文正文)" w:cs="等线(中文正文)" w:eastAsia="等线(中文正文)"/>
          <w:b w:val="false"/>
          <w:i w:val="false"/>
          <w:sz w:val="20"/>
        </w:rPr>
        <w:t>发言人1 答：在线下投资者可通过电话或直播间互动区域提出问题，线上投资者可点击举手按钮申请语音提问。目前没有其他问题，会议进入总结阶段。</w:t>
      </w:r>
    </w:p>
    <w:p>
      <w:r>
        <w:rPr>
          <w:rFonts w:ascii="等线(中文正文)" w:hAnsi="等线(中文正文)" w:cs="等线(中文正文)" w:eastAsia="等线(中文正文)"/>
          <w:b w:val="false"/>
          <w:i w:val="false"/>
          <w:sz w:val="20"/>
        </w:rPr>
        <w:t/>
      </w:r>
    </w:p>
    <w:p>
      <w:pPr>
        <w:pStyle w:val="ab"/>
      </w:pPr>
      <w:r>
        <w:t>发言人1 问：对于公司未来的总结和展望是什么？</w:t>
      </w:r>
    </w:p>
    <w:p>
      <w:r>
        <w:rPr>
          <w:rFonts w:ascii="等线(中文正文)" w:hAnsi="等线(中文正文)" w:cs="等线(中文正文)" w:eastAsia="等线(中文正文)"/>
          <w:b w:val="false"/>
          <w:i w:val="false"/>
          <w:sz w:val="20"/>
        </w:rPr>
        <w:t>发言人1 答：公司在过去两年受到了行业波动和整体环境的影响，但凭借多年深耕细分公司赛道、强大的品牌影响力和成熟的体系，在当前市场情况下努力维持良好的经营成果和高质量的财务状况。尽管短期增长受到压力，管理层对公司未来长远发展充满信心。</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2026-06-14T07:28:38Z</dcterms:created>
  <dc:creator>Apache POI</dc:creator>
</cp:coreProperties>
</file>