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徐工机械 260612_导读</w:t>
      </w:r>
    </w:p>
    <w:p>
      <w:pPr>
        <w:pStyle w:val="a0"/>
        <w:jc w:val="center"/>
      </w:pPr>
      <w:r>
        <w:t>2026年06月14日 15:07</w:t>
      </w:r>
    </w:p>
    <w:p>
      <w:pPr>
        <w:pStyle w:val="a7"/>
      </w:pPr>
      <w:r>
        <w:t>关键词</w:t>
      </w:r>
    </w:p>
    <w:p>
      <w:r>
        <w:rPr>
          <w:rFonts w:ascii="等线(中文正文)" w:hAnsi="等线(中文正文)" w:cs="等线(中文正文)" w:eastAsia="等线(中文正文)"/>
          <w:b w:val="false"/>
          <w:i w:val="false"/>
          <w:sz w:val="20"/>
        </w:rPr>
        <w:t xml:space="preserve">徐工机械 李总 经销商 诉讼 现金流 出口 非洲 南美 汇率 敞口 资产负债表 正向影响 长期基本面 更新需求 电动化 慢牛 工程机械 资本市场 二季度 增长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投资者交流会上，公司回顾了一季度的良好业绩，包括稳健的财务状况、积极的营收和现金流表现，以及海外市场的拓展。董秘指出，尽管遇到与经销商的法律纠纷，但公司已通过司法途径妥善处理，预计不会对财务造成重大影响。面对汇率波动，公司采取调整敞口和优化成本结构的策略来应对，并对汇率变化持积极预期。董秘详细分享了公司未来的产品定价、海外市场扩张和产能布局计划，彰显了公司积极应对市场挑战、提升竞争力的决心。最后，董秘表达了对行业增长的乐观态度和公司作为行业龙头、未来全球扩张潜力的信心，展现了公司管理层与投资者间的积极沟通和对长期发展的承诺。</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徐工机械董秘解读新疆经销商诉讼及公司基本面</w:t>
      </w:r>
    </w:p>
    <w:p>
      <w:r>
        <w:rPr>
          <w:rFonts w:ascii="等线(中文正文)" w:hAnsi="等线(中文正文)" w:cs="等线(中文正文)" w:eastAsia="等线(中文正文)"/>
          <w:b w:val="false"/>
          <w:i w:val="false"/>
          <w:sz w:val="20"/>
        </w:rPr>
        <w:t>对话中讨论了徐工机械近期股价波动的原因，包括市场风格变化及公司基本面。一季度报告已披露，四月、五月内销与外销增速改善，现金流创单季度新高。汉云大数据平台显示，开工率与出口，尤其是非洲和南美市场表现良好，支撑公司业绩。新疆经销商诉讼问题由董秘解答，强调公司整体状况向好。</w:t>
      </w:r>
    </w:p>
    <w:p>
      <w:r>
        <w:rPr>
          <w:rFonts w:ascii="等线(中文正文)" w:hAnsi="等线(中文正文)" w:cs="等线(中文正文)" w:eastAsia="等线(中文正文)"/>
          <w:b w:val="false"/>
          <w:i w:val="false"/>
          <w:sz w:val="20"/>
        </w:rPr>
        <w:t/>
      </w:r>
    </w:p>
    <w:p>
      <w:pPr>
        <w:pStyle w:val="ab"/>
        <w:numPr>
          <w:numId w:val="2"/>
        </w:numPr>
      </w:pPr>
      <w:r>
        <w:t>03:46 经销商纠纷与公司基本面改善</w:t>
      </w:r>
    </w:p>
    <w:p>
      <w:r>
        <w:rPr>
          <w:rFonts w:ascii="等线(中文正文)" w:hAnsi="等线(中文正文)" w:cs="等线(中文正文)" w:eastAsia="等线(中文正文)"/>
          <w:b w:val="false"/>
          <w:i w:val="false"/>
          <w:sz w:val="20"/>
        </w:rPr>
        <w:t>对话主要围绕公司与经销商之间的纠纷及其对基本面的影响展开。尽管2021年因未达目标解除了与某经销商的合作，但公司通过法律途径维护了自身权益，预计无经济损失。此外，公司强调其经销体系稳固，现金流和资产质量得到改善，表内应收账款不再增长，整体基本面向好。</w:t>
      </w:r>
    </w:p>
    <w:p>
      <w:r>
        <w:rPr>
          <w:rFonts w:ascii="等线(中文正文)" w:hAnsi="等线(中文正文)" w:cs="等线(中文正文)" w:eastAsia="等线(中文正文)"/>
          <w:b w:val="false"/>
          <w:i w:val="false"/>
          <w:sz w:val="20"/>
        </w:rPr>
        <w:t/>
      </w:r>
    </w:p>
    <w:p>
      <w:pPr>
        <w:pStyle w:val="ab"/>
        <w:numPr>
          <w:numId w:val="3"/>
        </w:numPr>
      </w:pPr>
      <w:r>
        <w:t>06:52 行业展望与短期波动讨论</w:t>
      </w:r>
    </w:p>
    <w:p>
      <w:r>
        <w:rPr>
          <w:rFonts w:ascii="等线(中文正文)" w:hAnsi="等线(中文正文)" w:cs="等线(中文正文)" w:eastAsia="等线(中文正文)"/>
          <w:b w:val="false"/>
          <w:i w:val="false"/>
          <w:sz w:val="20"/>
        </w:rPr>
        <w:t>对话围绕工程机械行业的长期发展趋势展开，指出尽管短期内市场存在非理性波动，但基于国内更新需求、重大项目及电动化迭代，以及海外市场份额增长，行业基本面持续向好。预计未来三年内，行业将保持较高速度增长，强调了长期投资价值。同时，提及了短期波动带来的挑战与压力，表达了对未来发展的信心与期待。</w:t>
      </w:r>
    </w:p>
    <w:p>
      <w:r>
        <w:rPr>
          <w:rFonts w:ascii="等线(中文正文)" w:hAnsi="等线(中文正文)" w:cs="等线(中文正文)" w:eastAsia="等线(中文正文)"/>
          <w:b w:val="false"/>
          <w:i w:val="false"/>
          <w:sz w:val="20"/>
        </w:rPr>
        <w:t/>
      </w:r>
    </w:p>
    <w:p>
      <w:pPr>
        <w:pStyle w:val="ab"/>
        <w:numPr>
          <w:numId w:val="4"/>
        </w:numPr>
      </w:pPr>
      <w:r>
        <w:t>09:43 会议提问环节操作指南</w:t>
      </w:r>
    </w:p>
    <w:p>
      <w:r>
        <w:rPr>
          <w:rFonts w:ascii="等线(中文正文)" w:hAnsi="等线(中文正文)" w:cs="等线(中文正文)" w:eastAsia="等线(中文正文)"/>
          <w:b w:val="false"/>
          <w:i w:val="false"/>
          <w:sz w:val="20"/>
        </w:rPr>
        <w:t>会议助理详细介绍了电话端与网络端参会者提问的具体操作方法，包括电话端按星号键后按数字一，网络端则通过直播间互动区域文字提问或点击举手按钮申请语音提问。</w:t>
      </w:r>
    </w:p>
    <w:p>
      <w:r>
        <w:rPr>
          <w:rFonts w:ascii="等线(中文正文)" w:hAnsi="等线(中文正文)" w:cs="等线(中文正文)" w:eastAsia="等线(中文正文)"/>
          <w:b w:val="false"/>
          <w:i w:val="false"/>
          <w:sz w:val="20"/>
        </w:rPr>
        <w:t/>
      </w:r>
    </w:p>
    <w:p>
      <w:pPr>
        <w:pStyle w:val="ab"/>
        <w:numPr>
          <w:numId w:val="5"/>
        </w:numPr>
      </w:pPr>
      <w:r>
        <w:t>10:29 汇率波动对行业盈利影响及下半年展望</w:t>
      </w:r>
    </w:p>
    <w:p>
      <w:r>
        <w:rPr>
          <w:rFonts w:ascii="等线(中文正文)" w:hAnsi="等线(中文正文)" w:cs="等线(中文正文)" w:eastAsia="等线(中文正文)"/>
          <w:b w:val="false"/>
          <w:i w:val="false"/>
          <w:sz w:val="20"/>
        </w:rPr>
        <w:t>对话围绕汇率波动对行业盈利的影响展开，详细分析了去年各季度的汇兑损失与收益情况，指出上半年受汇率影响较大，但下半年预期乐观。目前一季度损失较去年同期有所减少，但六月的具体情况尚不确定。整体判断今年下半年压力将有所缓解，但仍需关注630会计节点对数据的影响。</w:t>
      </w:r>
    </w:p>
    <w:p>
      <w:r>
        <w:rPr>
          <w:rFonts w:ascii="等线(中文正文)" w:hAnsi="等线(中文正文)" w:cs="等线(中文正文)" w:eastAsia="等线(中文正文)"/>
          <w:b w:val="false"/>
          <w:i w:val="false"/>
          <w:sz w:val="20"/>
        </w:rPr>
        <w:t/>
      </w:r>
    </w:p>
    <w:p>
      <w:pPr>
        <w:pStyle w:val="ab"/>
        <w:numPr>
          <w:numId w:val="6"/>
        </w:numPr>
      </w:pPr>
      <w:r>
        <w:t>13:40 企业讨论汇率风险与资产负债表改善策略</w:t>
      </w:r>
    </w:p>
    <w:p>
      <w:r>
        <w:rPr>
          <w:rFonts w:ascii="等线(中文正文)" w:hAnsi="等线(中文正文)" w:cs="等线(中文正文)" w:eastAsia="等线(中文正文)"/>
          <w:b w:val="false"/>
          <w:i w:val="false"/>
          <w:sz w:val="20"/>
        </w:rPr>
        <w:t>对话围绕企业面临的汇率风险及其对资产负债表的影响展开，提到去年三季度因汇率波动导致的损失，并探讨了压降敞口的措施。企业寻求投资者的建议，特别是关于小币种的管理策略，同时预测下半年财务状况将有所改善。会上还介绍了提问方式，鼓励线上投资者参与交流。</w:t>
      </w:r>
    </w:p>
    <w:p>
      <w:r>
        <w:rPr>
          <w:rFonts w:ascii="等线(中文正文)" w:hAnsi="等线(中文正文)" w:cs="等线(中文正文)" w:eastAsia="等线(中文正文)"/>
          <w:b w:val="false"/>
          <w:i w:val="false"/>
          <w:sz w:val="20"/>
        </w:rPr>
        <w:t/>
      </w:r>
    </w:p>
    <w:p>
      <w:pPr>
        <w:pStyle w:val="ab"/>
        <w:numPr>
          <w:numId w:val="7"/>
        </w:numPr>
      </w:pPr>
      <w:r>
        <w:t>16:28 二季度及六月挖掘机行业展望</w:t>
      </w:r>
    </w:p>
    <w:p>
      <w:r>
        <w:rPr>
          <w:rFonts w:ascii="等线(中文正文)" w:hAnsi="等线(中文正文)" w:cs="等线(中文正文)" w:eastAsia="等线(中文正文)"/>
          <w:b w:val="false"/>
          <w:i w:val="false"/>
          <w:sz w:val="20"/>
        </w:rPr>
        <w:t>对话围绕二季度及六月挖掘机行业收入情况展开，预计二季度将优于一季度，行业整体增速加快，尤其外销订单保障三季度表现。六月行业可能实现两位数增长，尽管国内销售受基数影响，但出口表现强劲，整体形势向好。</w:t>
      </w:r>
    </w:p>
    <w:p>
      <w:r>
        <w:rPr>
          <w:rFonts w:ascii="等线(中文正文)" w:hAnsi="等线(中文正文)" w:cs="等线(中文正文)" w:eastAsia="等线(中文正文)"/>
          <w:b w:val="false"/>
          <w:i w:val="false"/>
          <w:sz w:val="20"/>
        </w:rPr>
        <w:t/>
      </w:r>
    </w:p>
    <w:p>
      <w:pPr>
        <w:pStyle w:val="ab"/>
        <w:numPr>
          <w:numId w:val="8"/>
        </w:numPr>
      </w:pPr>
      <w:r>
        <w:t>18:56 工程机械行业涨价与盈利情况分析</w:t>
      </w:r>
    </w:p>
    <w:p>
      <w:r>
        <w:rPr>
          <w:rFonts w:ascii="等线(中文正文)" w:hAnsi="等线(中文正文)" w:cs="等线(中文正文)" w:eastAsia="等线(中文正文)"/>
          <w:b w:val="false"/>
          <w:i w:val="false"/>
          <w:sz w:val="20"/>
        </w:rPr>
        <w:t>对话围绕工程机械行业涨价后价格落地情况及盈利变化展开，指出装载机和挖机已涨价，终端价格趋于稳定，不再降价，销量因此提升。海外市场的高毛利弥补了国内部分压力，经销商整体未出现亏损，市场恢复良好，预计下半年涨价将全面落地，尽管成本有小幅上涨，但通过降本措施和设计优化可缓解影响。</w:t>
      </w:r>
    </w:p>
    <w:p>
      <w:r>
        <w:rPr>
          <w:rFonts w:ascii="等线(中文正文)" w:hAnsi="等线(中文正文)" w:cs="等线(中文正文)" w:eastAsia="等线(中文正文)"/>
          <w:b w:val="false"/>
          <w:i w:val="false"/>
          <w:sz w:val="20"/>
        </w:rPr>
        <w:t/>
      </w:r>
    </w:p>
    <w:p>
      <w:pPr>
        <w:pStyle w:val="ab"/>
        <w:numPr>
          <w:numId w:val="9"/>
        </w:numPr>
      </w:pPr>
      <w:r>
        <w:t>23:15 通过结构调整与成本控制提升毛利率</w:t>
      </w:r>
    </w:p>
    <w:p>
      <w:r>
        <w:rPr>
          <w:rFonts w:ascii="等线(中文正文)" w:hAnsi="等线(中文正文)" w:cs="等线(中文正文)" w:eastAsia="等线(中文正文)"/>
          <w:b w:val="false"/>
          <w:i w:val="false"/>
          <w:sz w:val="20"/>
        </w:rPr>
        <w:t>对话围绕如何在保证质量的前提下降低成本，提升毛利率展开。通过加大设计样本、国产化替代、物流成本优化、产品结构调整等措施，尤其是严控低毛利率产品，加大海外市场和土石方产业布局，目标是实现全年毛利率提升1.5至2个百分点。</w:t>
      </w:r>
    </w:p>
    <w:p>
      <w:r>
        <w:rPr>
          <w:rFonts w:ascii="等线(中文正文)" w:hAnsi="等线(中文正文)" w:cs="等线(中文正文)" w:eastAsia="等线(中文正文)"/>
          <w:b w:val="false"/>
          <w:i w:val="false"/>
          <w:sz w:val="20"/>
        </w:rPr>
        <w:t/>
      </w:r>
    </w:p>
    <w:p>
      <w:pPr>
        <w:pStyle w:val="ab"/>
        <w:numPr>
          <w:numId w:val="10"/>
        </w:numPr>
      </w:pPr>
      <w:r>
        <w:t>25:50 欧洲市场敞口与增长前景分析</w:t>
      </w:r>
    </w:p>
    <w:p>
      <w:r>
        <w:rPr>
          <w:rFonts w:ascii="等线(中文正文)" w:hAnsi="等线(中文正文)" w:cs="等线(中文正文)" w:eastAsia="等线(中文正文)"/>
          <w:b w:val="false"/>
          <w:i w:val="false"/>
          <w:sz w:val="20"/>
        </w:rPr>
        <w:t>讨论了公司在欧洲市场的敞口比例及增长预期，指出欧洲市场尤其是西欧地区的重要性与潜力，强调通过全球产能布局应对不确定性，提及巴西、印尼及东欧的产能扩展计划，以及中欧贸易前景的复杂性。</w:t>
      </w:r>
    </w:p>
    <w:p>
      <w:r>
        <w:rPr>
          <w:rFonts w:ascii="等线(中文正文)" w:hAnsi="等线(中文正文)" w:cs="等线(中文正文)" w:eastAsia="等线(中文正文)"/>
          <w:b w:val="false"/>
          <w:i w:val="false"/>
          <w:sz w:val="20"/>
        </w:rPr>
        <w:t/>
      </w:r>
    </w:p>
    <w:p>
      <w:pPr>
        <w:pStyle w:val="ab"/>
        <w:numPr>
          <w:numId w:val="11"/>
        </w:numPr>
      </w:pPr>
      <w:r>
        <w:t>29:01 徐工机械全球化战略与投资者交流会</w:t>
      </w:r>
    </w:p>
    <w:p>
      <w:r>
        <w:rPr>
          <w:rFonts w:ascii="等线(中文正文)" w:hAnsi="等线(中文正文)" w:cs="等线(中文正文)" w:eastAsia="等线(中文正文)"/>
          <w:b w:val="false"/>
          <w:i w:val="false"/>
          <w:sz w:val="20"/>
        </w:rPr>
        <w:t>会议围绕徐工机械的全球化布局、产能优化及国际化进程展开讨论，强调了公司长期向好的基本面和行业上升趋势，以及对投资者回报的重视。同时，会议表达了对投资者支持的感谢，并鼓励通过微信保持沟通，以共同见证徐工机械迈向全球工程机械龙头的进程。</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主持的会议中，重点关注了徐工机械的经营情况与市场表现。尽管近期股价波动明显，但公司基本面稳健，一季度业绩突出，内外销增速均超市场平均水平。面对挑战，公司正积极优化策略，旨在增强现金流和提升资产质量，对行业及自身发展前景持乐观态度。会议还触及了与经销商的矛盾、汇率波动及产品定价策略等议题，并对投资者关切做出回应。他重申了公司对投资者回报的承诺，同时展望海外市场与矿山机械业务的潜力，表达了对徐工机械长期价值的坚定信心。</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问：最近股价波动较大，市值也有所下滑，主要是因为哪些原因导致的呢？</w:t>
      </w:r>
    </w:p>
    <w:p>
      <w:r>
        <w:rPr>
          <w:rFonts w:ascii="等线(中文正文)" w:hAnsi="等线(中文正文)" w:cs="等线(中文正文)" w:eastAsia="等线(中文正文)"/>
          <w:b w:val="false"/>
          <w:i w:val="false"/>
          <w:sz w:val="20"/>
        </w:rPr>
        <w:t>发言人1 答：股价和市值波动的主要原因是市场风格变化，但公司基本面良好。从一季报和四月份、五月份的实际增速来看，无论是内销还是外销，都有显著提升，增速都超过了去年同期水平。此外，从现金流方面看，一季度创下了单季度历史新高，而二季度无论是营业收入还是现金流都呈现出边际改善的趋势。</w:t>
      </w:r>
    </w:p>
    <w:p>
      <w:r>
        <w:rPr>
          <w:rFonts w:ascii="等线(中文正文)" w:hAnsi="等线(中文正文)" w:cs="等线(中文正文)" w:eastAsia="等线(中文正文)"/>
          <w:b w:val="false"/>
          <w:i w:val="false"/>
          <w:sz w:val="20"/>
        </w:rPr>
        <w:t/>
      </w:r>
    </w:p>
    <w:p>
      <w:pPr>
        <w:pStyle w:val="ab"/>
      </w:pPr>
      <w:r>
        <w:t>发言人1 问：在工程机械行业开工率方面，近期有怎样的表现？出口层面的情况如何？</w:t>
      </w:r>
    </w:p>
    <w:p>
      <w:r>
        <w:rPr>
          <w:rFonts w:ascii="等线(中文正文)" w:hAnsi="等线(中文正文)" w:cs="等线(中文正文)" w:eastAsia="等线(中文正文)"/>
          <w:b w:val="false"/>
          <w:i w:val="false"/>
          <w:sz w:val="20"/>
        </w:rPr>
        <w:t>发言人1 答：根据汉云大数据平台的数据，自五月份以来，开工率和开工小时数均微高于去年同期，特别是在最近一个月，开工率一直高于去年同期水平。这为公司的业绩增长提供了支撑。出口方面也表现强劲，尤其是非洲和南美等传统优质市场，出现了大幅度增长。以非洲为例，1-4月份的数据就实现了100%至300%的增长，而南美因大单影响，在4月份和5月份实现了45%的增长，这些都带动了整体出口的增长。</w:t>
      </w:r>
    </w:p>
    <w:p>
      <w:r>
        <w:rPr>
          <w:rFonts w:ascii="等线(中文正文)" w:hAnsi="等线(中文正文)" w:cs="等线(中文正文)" w:eastAsia="等线(中文正文)"/>
          <w:b w:val="false"/>
          <w:i w:val="false"/>
          <w:sz w:val="20"/>
        </w:rPr>
        <w:t/>
      </w:r>
    </w:p>
    <w:p>
      <w:pPr>
        <w:pStyle w:val="ab"/>
      </w:pPr>
      <w:r>
        <w:t>发言人1 问：关于经销商诉讼事件，能否详细说明一下？对于公司当前的基本面情况以及未来展望，您怎么看？</w:t>
      </w:r>
    </w:p>
    <w:p>
      <w:r>
        <w:rPr>
          <w:rFonts w:ascii="等线(中文正文)" w:hAnsi="等线(中文正文)" w:cs="等线(中文正文)" w:eastAsia="等线(中文正文)"/>
          <w:b w:val="false"/>
          <w:i w:val="false"/>
          <w:sz w:val="20"/>
        </w:rPr>
        <w:t>发言人1 答：该经销商是在挖掘机整体上市前与公司签订合同，后因未达到战略目标、预算目标和预期目标，在2021年双方解除了合作协议。解除后，由于存在款项往来和经济纠纷，公司通过司法途径维护国有资产和股东利益，并已计提了一部分应收账款。尽管如此，公司判断此经销商欠款本金和利息均可追回，不存在损失，前期计提的部分可能会有小额度损失。目前，公司经销商体系整体稳固，组织关系以经销为主，合作较为顺畅，只是有个别经销商出现问题。公司基本面持续向好，现金流改善明显，资产质量和表外担保压降均有显著成效。公司对经销商纠纷采取了法律手段以保障国有资产和股东利益，并坚信长期看好公司发展，因为工程机械行业在国内外都处于上升趋势，更新需求、重大项目以及电动化迭代等因素将共同推动行业进入一个慢牛行情。</w:t>
      </w:r>
    </w:p>
    <w:p>
      <w:r>
        <w:rPr>
          <w:rFonts w:ascii="等线(中文正文)" w:hAnsi="等线(中文正文)" w:cs="等线(中文正文)" w:eastAsia="等线(中文正文)"/>
          <w:b w:val="false"/>
          <w:i w:val="false"/>
          <w:sz w:val="20"/>
        </w:rPr>
        <w:t/>
      </w:r>
    </w:p>
    <w:p>
      <w:pPr>
        <w:pStyle w:val="ab"/>
      </w:pPr>
      <w:r>
        <w:t>发言人1 问：海外销售方面，您能否详细说明一下今年的增速情况以及对未来几年的判断？</w:t>
      </w:r>
    </w:p>
    <w:p>
      <w:r>
        <w:rPr>
          <w:rFonts w:ascii="等线(中文正文)" w:hAnsi="等线(中文正文)" w:cs="等线(中文正文)" w:eastAsia="等线(中文正文)"/>
          <w:b w:val="false"/>
          <w:i w:val="false"/>
          <w:sz w:val="20"/>
        </w:rPr>
        <w:t>发言人1 答：今年我们的海外销售增速肯定好于去年，整体行业和公司的基本面都是向上的。尽管短期波动会带来压力，但长期来看，随着全球工程界的蛋糕在不断做大，我们的市场份额也在增长，预计未来三年将保持较高速的增长态势。</w:t>
      </w:r>
    </w:p>
    <w:p>
      <w:r>
        <w:rPr>
          <w:rFonts w:ascii="等线(中文正文)" w:hAnsi="等线(中文正文)" w:cs="等线(中文正文)" w:eastAsia="等线(中文正文)"/>
          <w:b w:val="false"/>
          <w:i w:val="false"/>
          <w:sz w:val="20"/>
        </w:rPr>
        <w:t/>
      </w:r>
    </w:p>
    <w:p>
      <w:pPr>
        <w:pStyle w:val="ab"/>
      </w:pPr>
      <w:r>
        <w:t>发言人1 问：对于汇率波动对业绩的影响，能否具体谈谈今年二季度的情况及应对措施？</w:t>
      </w:r>
    </w:p>
    <w:p>
      <w:r>
        <w:rPr>
          <w:rFonts w:ascii="等线(中文正文)" w:hAnsi="等线(中文正文)" w:cs="等线(中文正文)" w:eastAsia="等线(中文正文)"/>
          <w:b w:val="false"/>
          <w:i w:val="false"/>
          <w:sz w:val="20"/>
        </w:rPr>
        <w:t>发言人1 答：在汇率方面，去年我们遭受了大约30多亿的损失，其中上半年尤其是第一季度由于汇率原因产生了较大的汇兑损失和索汇成本。不过，下半年的情况有所好转，尤其是今年第一季度的损失相比去年同期有所减少。对于今年下半年，我们持乐观态度，预计压力会比上半年小一些，不过具体数据还需等待6月份的最终结算。</w:t>
      </w:r>
    </w:p>
    <w:p>
      <w:r>
        <w:rPr>
          <w:rFonts w:ascii="等线(中文正文)" w:hAnsi="等线(中文正文)" w:cs="等线(中文正文)" w:eastAsia="等线(中文正文)"/>
          <w:b w:val="false"/>
          <w:i w:val="false"/>
          <w:sz w:val="20"/>
        </w:rPr>
        <w:t/>
      </w:r>
    </w:p>
    <w:p>
      <w:pPr>
        <w:pStyle w:val="ab"/>
      </w:pPr>
      <w:r>
        <w:t>发言人1 问：公司在压降敞口方面做了哪些工作，以及是否还有其他有效的方法来应对汇率风险？</w:t>
      </w:r>
    </w:p>
    <w:p>
      <w:r>
        <w:rPr>
          <w:rFonts w:ascii="等线(中文正文)" w:hAnsi="等线(中文正文)" w:cs="等线(中文正文)" w:eastAsia="等线(中文正文)"/>
          <w:b w:val="false"/>
          <w:i w:val="false"/>
          <w:sz w:val="20"/>
        </w:rPr>
        <w:t>发言人1 答：我们在压降敞口方面已采取了一些措施，但资产负债表的改善仍需结合成本判断和其他因素综合考虑。确实，汇率问题较为复杂，有时难以通过单一工具完全解决。因此，我们非常欢迎投资者提出更多建议，包括针对小币种管理的好方法，以便共同探讨和应对这一挑战。总体而言，下半年的汇率压力相比上半年会有所减轻，且不会像去年那样造成巨大损失，这将对公司的经营成果产生积极影响。</w:t>
      </w:r>
    </w:p>
    <w:p>
      <w:r>
        <w:rPr>
          <w:rFonts w:ascii="等线(中文正文)" w:hAnsi="等线(中文正文)" w:cs="等线(中文正文)" w:eastAsia="等线(中文正文)"/>
          <w:b w:val="false"/>
          <w:i w:val="false"/>
          <w:sz w:val="20"/>
        </w:rPr>
        <w:t/>
      </w:r>
    </w:p>
    <w:p>
      <w:pPr>
        <w:pStyle w:val="ab"/>
      </w:pPr>
      <w:r>
        <w:t>发言人1 问：六月份挖掘机的国内外收入情况以及二季度的展望如何？</w:t>
      </w:r>
    </w:p>
    <w:p>
      <w:r>
        <w:rPr>
          <w:rFonts w:ascii="等线(中文正文)" w:hAnsi="等线(中文正文)" w:cs="等线(中文正文)" w:eastAsia="等线(中文正文)"/>
          <w:b w:val="false"/>
          <w:i w:val="false"/>
          <w:sz w:val="20"/>
        </w:rPr>
        <w:t>发言人1 答：六月份预计行业收入可能会有两位数增长，但因去年基数较高，两个月的增长问题可能存在一些挑战。出口方面可能会有所增长，而国内则可能保持两位数增长，但具体数字尚不确定。二季度的业绩会好于一季度，呈现边际改善的趋势，三季度内外销增速预计也不会差，因为外销有实打实的订单支撑，包括一些大单将在三季度交付。</w:t>
      </w:r>
    </w:p>
    <w:p>
      <w:r>
        <w:rPr>
          <w:rFonts w:ascii="等线(中文正文)" w:hAnsi="等线(中文正文)" w:cs="等线(中文正文)" w:eastAsia="等线(中文正文)"/>
          <w:b w:val="false"/>
          <w:i w:val="false"/>
          <w:sz w:val="20"/>
        </w:rPr>
        <w:t/>
      </w:r>
    </w:p>
    <w:p>
      <w:pPr>
        <w:pStyle w:val="ab"/>
      </w:pPr>
      <w:r>
        <w:t>发言人1 问：价格问题上，工程机械行业年初以来价格走势如何？涨价后盈利能力有何变化方向？</w:t>
      </w:r>
    </w:p>
    <w:p>
      <w:r>
        <w:rPr>
          <w:rFonts w:ascii="等线(中文正文)" w:hAnsi="等线(中文正文)" w:cs="等线(中文正文)" w:eastAsia="等线(中文正文)"/>
          <w:b w:val="false"/>
          <w:i w:val="false"/>
          <w:sz w:val="20"/>
        </w:rPr>
        <w:t>发言人1 答：装载机在三月份已涨价5%，且电动装载机增长明显。尽管涨价，装载机的销售状态仍然较好，增长了30%左右，这主要得益于提升产品品质和服务。从4月和5月开始，挖掘机也开始涨价，目前的目标是不再降价，从而形成一致预期。局部地区价格有所回落，但在终端市场上，价格上涨且基本稳定，未再出现降价现象。起重机在7月1号起也开始涨价。尽管国内有一部分区域价格未涨，但在海外市场，由于毛利较高，仍能维持一定的盈利空间。随着市场逐渐恢复，经销商的运营能力和造血能力也在提高，随着每月增速保持两位数增长，预计下半年能够实现涨价计划的落地。</w:t>
      </w:r>
    </w:p>
    <w:p>
      <w:r>
        <w:rPr>
          <w:rFonts w:ascii="等线(中文正文)" w:hAnsi="等线(中文正文)" w:cs="等线(中文正文)" w:eastAsia="等线(中文正文)"/>
          <w:b w:val="false"/>
          <w:i w:val="false"/>
          <w:sz w:val="20"/>
        </w:rPr>
        <w:t/>
      </w:r>
    </w:p>
    <w:p>
      <w:pPr>
        <w:pStyle w:val="ab"/>
      </w:pPr>
      <w:r>
        <w:t>发言人1 问：关于成本控制和降本措施的具体情况是什么？</w:t>
      </w:r>
    </w:p>
    <w:p>
      <w:r>
        <w:rPr>
          <w:rFonts w:ascii="等线(中文正文)" w:hAnsi="等线(中文正文)" w:cs="等线(中文正文)" w:eastAsia="等线(中文正文)"/>
          <w:b w:val="false"/>
          <w:i w:val="false"/>
          <w:sz w:val="20"/>
        </w:rPr>
        <w:t>发言人1 答：虽然面临成本上升的压力，如铜、铝等原材料涨价，但通过降本策略，如传统采购降本方式和加大设计样本、研发替代供应商、优化物流等方面的努力，仍然实现了成本的下降。尽管原本预期的5%降本目标可能实际落地在4%左右，公司仍在积极采取措施降低成本并保持盈利能力的稳定。</w:t>
      </w:r>
    </w:p>
    <w:p>
      <w:r>
        <w:rPr>
          <w:rFonts w:ascii="等线(中文正文)" w:hAnsi="等线(中文正文)" w:cs="等线(中文正文)" w:eastAsia="等线(中文正文)"/>
          <w:b w:val="false"/>
          <w:i w:val="false"/>
          <w:sz w:val="20"/>
        </w:rPr>
        <w:t/>
      </w:r>
    </w:p>
    <w:p>
      <w:pPr>
        <w:pStyle w:val="ab"/>
      </w:pPr>
      <w:r>
        <w:t>发言人1 问：在C端物流方面，今年降本的力度有多大？</w:t>
      </w:r>
    </w:p>
    <w:p>
      <w:r>
        <w:rPr>
          <w:rFonts w:ascii="等线(中文正文)" w:hAnsi="等线(中文正文)" w:cs="等线(中文正文)" w:eastAsia="等线(中文正文)"/>
          <w:b w:val="false"/>
          <w:i w:val="false"/>
          <w:sz w:val="20"/>
        </w:rPr>
        <w:t>发言人1 答：今年C端物流的降本力度很大，达到了6个点，预计下半年将达到7个点的降幅。整体物流成本会下降，价格保持稳定，全年的目标是希望毛利率有所提升，原本预计提升2个点左右，虽然现在可能无法达到这个目标，但仍维持1.5到2个点的增长目标，目前中期预算还未调整这个目标。</w:t>
      </w:r>
    </w:p>
    <w:p>
      <w:r>
        <w:rPr>
          <w:rFonts w:ascii="等线(中文正文)" w:hAnsi="等线(中文正文)" w:cs="等线(中文正文)" w:eastAsia="等线(中文正文)"/>
          <w:b w:val="false"/>
          <w:i w:val="false"/>
          <w:sz w:val="20"/>
        </w:rPr>
        <w:t/>
      </w:r>
    </w:p>
    <w:p>
      <w:pPr>
        <w:pStyle w:val="ab"/>
      </w:pPr>
      <w:r>
        <w:t>发言人1 问：公司如何通过产品结构调整实现毛利提升？</w:t>
      </w:r>
    </w:p>
    <w:p>
      <w:r>
        <w:rPr>
          <w:rFonts w:ascii="等线(中文正文)" w:hAnsi="等线(中文正文)" w:cs="等线(中文正文)" w:eastAsia="等线(中文正文)"/>
          <w:b w:val="false"/>
          <w:i w:val="false"/>
          <w:sz w:val="20"/>
        </w:rPr>
        <w:t>发言人1 答：通过产品结构调整、客户结构调整以及市场节奏向海外发展，利用海外市场较高的毛利率（如29%至30%），结合产业结构调整（特别是加大土石方设备领域）和客户结构调整，来实现今年毛利提升的目标。</w:t>
      </w:r>
    </w:p>
    <w:p>
      <w:r>
        <w:rPr>
          <w:rFonts w:ascii="等线(中文正文)" w:hAnsi="等线(中文正文)" w:cs="等线(中文正文)" w:eastAsia="等线(中文正文)"/>
          <w:b w:val="false"/>
          <w:i w:val="false"/>
          <w:sz w:val="20"/>
        </w:rPr>
        <w:t/>
      </w:r>
    </w:p>
    <w:p>
      <w:pPr>
        <w:pStyle w:val="ab"/>
      </w:pPr>
      <w:r>
        <w:t>发言人1 问：公司对于欧洲市场的敞口比例是多少，以及未来增长前景如何？</w:t>
      </w:r>
    </w:p>
    <w:p>
      <w:r>
        <w:rPr>
          <w:rFonts w:ascii="等线(中文正文)" w:hAnsi="等线(中文正文)" w:cs="等线(中文正文)" w:eastAsia="等线(中文正文)"/>
          <w:b w:val="false"/>
          <w:i w:val="false"/>
          <w:sz w:val="20"/>
        </w:rPr>
        <w:t>发言人1 答：欧洲市场占公司去年总收入的大约20%，其中西欧市场占比较小，约为2%。欧洲市场对于公司而言非常重要，尤其是挖机市场增速平稳，且欧洲市场是全球第二大或第三大市场。尽管中欧贸易前景存在不确定性，但公司已通过全球产能布局来规避风险，如在巴西、印尼和东欧局部地区进行产能规划。</w:t>
      </w:r>
    </w:p>
    <w:p>
      <w:r>
        <w:rPr>
          <w:rFonts w:ascii="等线(中文正文)" w:hAnsi="等线(中文正文)" w:cs="等线(中文正文)" w:eastAsia="等线(中文正文)"/>
          <w:b w:val="false"/>
          <w:i w:val="false"/>
          <w:sz w:val="20"/>
        </w:rPr>
        <w:t/>
      </w:r>
    </w:p>
    <w:p>
      <w:pPr>
        <w:pStyle w:val="ab"/>
      </w:pPr>
      <w:r>
        <w:t>发言人1 问：对于企业价值的理解和未来展望是怎样的？</w:t>
      </w:r>
    </w:p>
    <w:p>
      <w:r>
        <w:rPr>
          <w:rFonts w:ascii="等线(中文正文)" w:hAnsi="等线(中文正文)" w:cs="等线(中文正文)" w:eastAsia="等线(中文正文)"/>
          <w:b w:val="false"/>
          <w:i w:val="false"/>
          <w:sz w:val="20"/>
        </w:rPr>
        <w:t>发言人1 答：企业价值由市场决定，短期波动，而公司长期基本面向好，行业发展趋势在未来几年内将持续上升。公司注重现金流、资产质量和基本面改善，同时强调在全球化进程中，产能布局是关键，这有助于公司更好地走向国际，实现长期价值。</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2026-06-14T07:28:38Z</dcterms:created>
  <dc:creator>Apache POI</dc:creator>
</cp:coreProperties>
</file>