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优博讯 260605_导读</w:t>
      </w:r>
    </w:p>
    <w:p>
      <w:pPr>
        <w:pStyle w:val="a0"/>
        <w:jc w:val="center"/>
      </w:pPr>
      <w:r>
        <w:t>2026年06月14日 15:07</w:t>
      </w:r>
    </w:p>
    <w:p>
      <w:pPr>
        <w:pStyle w:val="a7"/>
      </w:pPr>
      <w:r>
        <w:t>关键词</w:t>
      </w:r>
    </w:p>
    <w:p>
      <w:r>
        <w:rPr>
          <w:rFonts w:ascii="等线(中文正文)" w:hAnsi="等线(中文正文)" w:cs="等线(中文正文)" w:eastAsia="等线(中文正文)"/>
          <w:b w:val="false"/>
          <w:i w:val="false"/>
          <w:sz w:val="20"/>
        </w:rPr>
        <w:t xml:space="preserve">优博逊 AI技术 海外市场 智能终端 产品升级 技术创新 AIDC行业 生产制造 物流快递 毛利率提升 算力芯片 资本开支 研发投入 行业应用 数据采集 品牌影响力 盈利能力 市场策略 应用场景 客户关系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优博逊近年来在人工智能（AI）和国际市场拓展上取得了显著成就，特别是在物流、电商和制造等行业场景中，通过技术创新和产品升级，实现了智能终端的AI化，显著提升了业绩和市场竞争力。海外市场贡献了公司近65%的营收，显示了其国际化战略的成功。面对投资者的提问，公司强调了在AI和自动化集成指挥与调度（AIDC）领域的核心竞争力，包括对行业深入的理解、应用场景能力及海外市场的积极布局。未来，优博逊计划进一步增加AI技术研发投入，特别是在生产制造领域的应用，旨在巩固其在AI技术及AIDC行业的领先地位，并预期AI业务将带来显著的收入增长。</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优博逊AI与出海战略推动业绩增长</w:t>
      </w:r>
    </w:p>
    <w:p>
      <w:r>
        <w:rPr>
          <w:rFonts w:ascii="等线(中文正文)" w:hAnsi="等线(中文正文)" w:cs="等线(中文正文)" w:eastAsia="等线(中文正文)"/>
          <w:b w:val="false"/>
          <w:i w:val="false"/>
          <w:sz w:val="20"/>
        </w:rPr>
        <w:t>对话围绕优博逊在AI和海外市场的战略推进，及其对业绩的正面影响展开。发言者强调了公司2025年度年报和2026年一季度报显示的营收与净利润的显著增长，认为业绩拐点已确认，主要归因于三个驱动因素。此外，还提到市场对非算力主线标的股价下杀背景下，优博逊基本面的边际性利好，以及AI化和出海对公司基本面的助力。</w:t>
      </w:r>
    </w:p>
    <w:p>
      <w:r>
        <w:rPr>
          <w:rFonts w:ascii="等线(中文正文)" w:hAnsi="等线(中文正文)" w:cs="等线(中文正文)" w:eastAsia="等线(中文正文)"/>
          <w:b w:val="false"/>
          <w:i w:val="false"/>
          <w:sz w:val="20"/>
        </w:rPr>
        <w:t/>
      </w:r>
    </w:p>
    <w:p>
      <w:pPr>
        <w:pStyle w:val="ab"/>
        <w:numPr>
          <w:numId w:val="2"/>
        </w:numPr>
      </w:pPr>
      <w:r>
        <w:t>02:09 AI技术深化应用推动智能终端升级</w:t>
      </w:r>
    </w:p>
    <w:p>
      <w:r>
        <w:rPr>
          <w:rFonts w:ascii="等线(中文正文)" w:hAnsi="等线(中文正文)" w:cs="等线(中文正文)" w:eastAsia="等线(中文正文)"/>
          <w:b w:val="false"/>
          <w:i w:val="false"/>
          <w:sz w:val="20"/>
        </w:rPr>
        <w:t>公司持续强化技术创新，深化AI加战略布局，推动智能终端产品向智能化和AI升级，与行业场景深度融合。在端侧，智能终端搭载NPU，提供AI算力，支持OCR图像识别、语音交互等任务，通过轻量化小模型实现极致AI性能。构建端边云弹性协同架构，优化端边云协同体系，提升产品附加值和解决方案能力，拓宽应用场景。在物流、电商零售、智能制造领域，基于AI模型实现路径优化、决策辅助等功能，提升行业效率，巩固公司在国内AIDC行业的龙头地位，提升全球市场领先地位。</w:t>
      </w:r>
    </w:p>
    <w:p>
      <w:r>
        <w:rPr>
          <w:rFonts w:ascii="等线(中文正文)" w:hAnsi="等线(中文正文)" w:cs="等线(中文正文)" w:eastAsia="等线(中文正文)"/>
          <w:b w:val="false"/>
          <w:i w:val="false"/>
          <w:sz w:val="20"/>
        </w:rPr>
        <w:t/>
      </w:r>
    </w:p>
    <w:p>
      <w:pPr>
        <w:pStyle w:val="ab"/>
        <w:numPr>
          <w:numId w:val="3"/>
        </w:numPr>
      </w:pPr>
      <w:r>
        <w:t>06:39 全球化市场布局与精益化生产推动业绩增长</w:t>
      </w:r>
    </w:p>
    <w:p>
      <w:r>
        <w:rPr>
          <w:rFonts w:ascii="等线(中文正文)" w:hAnsi="等线(中文正文)" w:cs="等线(中文正文)" w:eastAsia="等线(中文正文)"/>
          <w:b w:val="false"/>
          <w:i w:val="false"/>
          <w:sz w:val="20"/>
        </w:rPr>
        <w:t>对话详述了公司通过精准市场策略和精益化生产，实现海外市场显著拓展与成本优化。海外市场营收占比达65%，欧洲市场持续高增长，新兴市场潜力巨大。同时，精益化生产和供应链体系升级提升毛利率，费用管控优化降低成本，整体盈利能力显著改善。</w:t>
      </w:r>
    </w:p>
    <w:p>
      <w:r>
        <w:rPr>
          <w:rFonts w:ascii="等线(中文正文)" w:hAnsi="等线(中文正文)" w:cs="等线(中文正文)" w:eastAsia="等线(中文正文)"/>
          <w:b w:val="false"/>
          <w:i w:val="false"/>
          <w:sz w:val="20"/>
        </w:rPr>
        <w:t/>
      </w:r>
    </w:p>
    <w:p>
      <w:pPr>
        <w:pStyle w:val="ab"/>
        <w:numPr>
          <w:numId w:val="4"/>
        </w:numPr>
      </w:pPr>
      <w:r>
        <w:t>10:39 算力芯片与AI业务发展现状</w:t>
      </w:r>
    </w:p>
    <w:p>
      <w:r>
        <w:rPr>
          <w:rFonts w:ascii="等线(中文正文)" w:hAnsi="等线(中文正文)" w:cs="等线(中文正文)" w:eastAsia="等线(中文正文)"/>
          <w:b w:val="false"/>
          <w:i w:val="false"/>
          <w:sz w:val="20"/>
        </w:rPr>
        <w:t>讨论了高算力芯片的供应情况、AI终端增量需求、研发投入及收入预期，以及轻量化大模型对公司产品毛利的影响。提到芯片供应暂无压力，AI业务正逐步形成收入贡献，轻量化大模型虽占比小但增强了客户粘性。</w:t>
      </w:r>
    </w:p>
    <w:p>
      <w:r>
        <w:rPr>
          <w:rFonts w:ascii="等线(中文正文)" w:hAnsi="等线(中文正文)" w:cs="等线(中文正文)" w:eastAsia="等线(中文正文)"/>
          <w:b w:val="false"/>
          <w:i w:val="false"/>
          <w:sz w:val="20"/>
        </w:rPr>
        <w:t/>
      </w:r>
    </w:p>
    <w:p>
      <w:pPr>
        <w:pStyle w:val="ab"/>
        <w:numPr>
          <w:numId w:val="5"/>
        </w:numPr>
      </w:pPr>
      <w:r>
        <w:t>15:12 物流零售行业与AI设备市场趋势分析</w:t>
      </w:r>
    </w:p>
    <w:p>
      <w:r>
        <w:rPr>
          <w:rFonts w:ascii="等线(中文正文)" w:hAnsi="等线(中文正文)" w:cs="等线(中文正文)" w:eastAsia="等线(中文正文)"/>
          <w:b w:val="false"/>
          <w:i w:val="false"/>
          <w:sz w:val="20"/>
        </w:rPr>
        <w:t>对话讨论了物流零售行业上半年订单增速、AI设备替换周期及下游资本开支回暖情况，指出生产制造行业为自动识别和数据采集领域最大增量市场，美国市场50%以上AIDC来自该行业，而中国低于10%，未来增长潜力巨大。海外企业数字化资本开支大幅增加，面临软硬件更新换代需求，而发展中国家企业处于从0到1的数字化阶段，投入活跃。战略上，重点资源向海外市场倾斜，国内to B生意竞争激烈。</w:t>
      </w:r>
    </w:p>
    <w:p>
      <w:r>
        <w:rPr>
          <w:rFonts w:ascii="等线(中文正文)" w:hAnsi="等线(中文正文)" w:cs="等线(中文正文)" w:eastAsia="等线(中文正文)"/>
          <w:b w:val="false"/>
          <w:i w:val="false"/>
          <w:sz w:val="20"/>
        </w:rPr>
        <w:t/>
      </w:r>
    </w:p>
    <w:p>
      <w:pPr>
        <w:pStyle w:val="ab"/>
        <w:numPr>
          <w:numId w:val="6"/>
        </w:numPr>
      </w:pPr>
      <w:r>
        <w:t>18:38 海外市场的拓展与毛利率差异分析</w:t>
      </w:r>
    </w:p>
    <w:p>
      <w:r>
        <w:rPr>
          <w:rFonts w:ascii="等线(中文正文)" w:hAnsi="等线(中文正文)" w:cs="等线(中文正文)" w:eastAsia="等线(中文正文)"/>
          <w:b w:val="false"/>
          <w:i w:val="false"/>
          <w:sz w:val="20"/>
        </w:rPr>
        <w:t>对话深入探讨了拓展海外市场的策略及其毛利率与国内市场的显著差异。基于全球市场份额仅为1%的现实，企业认为海外市场至少有十年以上的持续高增长潜力，尤其在欧洲市场采取了激进的定价策略，将更多毛利空间让利于代理商，即便如此，海外毛利率仍保持在较高水平，远高于国内接近20%的毛利率。企业认为，凭借中国高性价比优势和软件一体化优势，海外市场的竞争格局对其极为有利。</w:t>
      </w:r>
    </w:p>
    <w:p>
      <w:r>
        <w:rPr>
          <w:rFonts w:ascii="等线(中文正文)" w:hAnsi="等线(中文正文)" w:cs="等线(中文正文)" w:eastAsia="等线(中文正文)"/>
          <w:b w:val="false"/>
          <w:i w:val="false"/>
          <w:sz w:val="20"/>
        </w:rPr>
        <w:t/>
      </w:r>
    </w:p>
    <w:p>
      <w:pPr>
        <w:pStyle w:val="ab"/>
        <w:numPr>
          <w:numId w:val="7"/>
        </w:numPr>
      </w:pPr>
      <w:r>
        <w:t>22:03 智能体客户数据与收费模式探讨</w:t>
      </w:r>
    </w:p>
    <w:p>
      <w:r>
        <w:rPr>
          <w:rFonts w:ascii="等线(中文正文)" w:hAnsi="等线(中文正文)" w:cs="等线(中文正文)" w:eastAsia="等线(中文正文)"/>
          <w:b w:val="false"/>
          <w:i w:val="false"/>
          <w:sz w:val="20"/>
        </w:rPr>
        <w:t>讨论了智能体在零售物流工业的客户签约情况，当前已有八九家客户签署订阅协议，预计年收入在1000万至2000万之间。收费模式包括一次性license费和年度订阅费，毛利接近百分之百。市场推广策略强调先立标杆客户，通过其示范效应推动行业市场拓展。</w:t>
      </w:r>
    </w:p>
    <w:p>
      <w:r>
        <w:rPr>
          <w:rFonts w:ascii="等线(中文正文)" w:hAnsi="等线(中文正文)" w:cs="等线(中文正文)" w:eastAsia="等线(中文正文)"/>
          <w:b w:val="false"/>
          <w:i w:val="false"/>
          <w:sz w:val="20"/>
        </w:rPr>
        <w:t/>
      </w:r>
    </w:p>
    <w:p>
      <w:pPr>
        <w:pStyle w:val="ab"/>
        <w:numPr>
          <w:numId w:val="8"/>
        </w:numPr>
      </w:pPr>
      <w:r>
        <w:t>24:47 AI终端与行业智能体的核心竞争力及内部使用情况</w:t>
      </w:r>
    </w:p>
    <w:p>
      <w:r>
        <w:rPr>
          <w:rFonts w:ascii="等线(中文正文)" w:hAnsi="等线(中文正文)" w:cs="等线(中文正文)" w:eastAsia="等线(中文正文)"/>
          <w:b w:val="false"/>
          <w:i w:val="false"/>
          <w:sz w:val="20"/>
        </w:rPr>
        <w:t>讨论了AI终端与行业智能体在特定行业场景中的核心竞争力，强调了对业务流程的深刻理解和高市场份额渗透率的优势。同时，提到了公司内部AI使用情况，包括在不同行业场景的应用实例和每年在大模型上的投入情况，约有450人的团队，年投入超过2000万。</w:t>
      </w:r>
    </w:p>
    <w:p>
      <w:r>
        <w:rPr>
          <w:rFonts w:ascii="等线(中文正文)" w:hAnsi="等线(中文正文)" w:cs="等线(中文正文)" w:eastAsia="等线(中文正文)"/>
          <w:b w:val="false"/>
          <w:i w:val="false"/>
          <w:sz w:val="20"/>
        </w:rPr>
        <w:t/>
      </w:r>
    </w:p>
    <w:p>
      <w:pPr>
        <w:pStyle w:val="ab"/>
        <w:numPr>
          <w:numId w:val="9"/>
        </w:numPr>
      </w:pPr>
      <w:r>
        <w:t>27:55 优博讯业务提升与AI应用战略展望</w:t>
      </w:r>
    </w:p>
    <w:p>
      <w:r>
        <w:rPr>
          <w:rFonts w:ascii="等线(中文正文)" w:hAnsi="等线(中文正文)" w:cs="等线(中文正文)" w:eastAsia="等线(中文正文)"/>
          <w:b w:val="false"/>
          <w:i w:val="false"/>
          <w:sz w:val="20"/>
        </w:rPr>
        <w:t>会议讨论了优博讯在业务端和财务业绩上的显著改善趋势，以及AI应用作为公司战略重点的未来发展方向。强调了股价的积极前景和AI产品兑现业绩的潜力，鼓励参会者后续持续沟通交流。</w:t>
      </w:r>
    </w:p>
    <w:p>
      <w:r>
        <w:rPr>
          <w:rFonts w:ascii="等线(中文正文)" w:hAnsi="等线(中文正文)" w:cs="等线(中文正文)" w:eastAsia="等线(中文正文)"/>
          <w:b w:val="false"/>
          <w:i w:val="false"/>
          <w:sz w:val="20"/>
        </w:rPr>
        <w:t/>
      </w:r>
    </w:p>
    <w:p>
      <w:pPr>
        <w:pStyle w:val="a7"/>
      </w:pPr>
      <w:r>
        <w:t>发言总结</w:t>
      </w:r>
    </w:p>
    <w:p>
      <w:pPr>
        <w:pStyle w:val="ab"/>
        <w:numPr>
          <w:numId w:val="10"/>
        </w:numPr>
      </w:pPr>
      <w:r>
        <w:t>发言人1</w:t>
      </w:r>
    </w:p>
    <w:p>
      <w:r>
        <w:rPr>
          <w:rFonts w:ascii="等线(中文正文)" w:hAnsi="等线(中文正文)" w:cs="等线(中文正文)" w:eastAsia="等线(中文正文)"/>
          <w:b w:val="false"/>
          <w:i w:val="false"/>
          <w:sz w:val="20"/>
        </w:rPr>
        <w:t>首先介绍了优博逊在人工智能（AI）和国际业务方面取得的进展与战略规划，强调了公司在技术创新、产品升级以及推进AI与人工智能数据处理技术（AIDC）战略上的持续投入。他回顾了公司在过去几年中的努力和成功案例，同时对近期市场中算力主线标的股价波动持乐观态度，坚信公司基本面的增长潜力。
他还提到了优博逊在海外市场的良好进展，并对英国新任董秘刘总的加入表示欢迎。刘总在会议中分享了公司业绩的增长情况，重点强调了技术产品创新、市场策略优化和成本控制对公司盈利能力的积极贡献。讨论内容包括AI智能终端的研发投入、市场拓展策略以及如何建立和巩固公司的核心竞争力。
总体而言，他的发言展示了优博逊在AI和国际业务上的积极进展、对技术与市场策略的重视，以及对未来发展的信心。</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问：优博逊在AI和出海方向上做了哪些努力，并且近期市场对于非算力主线的标的有何反应？</w:t>
      </w:r>
    </w:p>
    <w:p>
      <w:r>
        <w:rPr>
          <w:rFonts w:ascii="等线(中文正文)" w:hAnsi="等线(中文正文)" w:cs="等线(中文正文)" w:eastAsia="等线(中文正文)"/>
          <w:b w:val="false"/>
          <w:i w:val="false"/>
          <w:sz w:val="20"/>
        </w:rPr>
        <w:t>发言人1 答：优博逊在过去几年在AI领域及出海方向上投入了很多努力和工作，多个项目得到了良好的落地效果。近期，市场对于基本面有较大增长预期的标的，特别是AI化和出海相关的业务，表现出强烈的股价下杀现象。</w:t>
      </w:r>
    </w:p>
    <w:p>
      <w:r>
        <w:rPr>
          <w:rFonts w:ascii="等线(中文正文)" w:hAnsi="等线(中文正文)" w:cs="等线(中文正文)" w:eastAsia="等线(中文正文)"/>
          <w:b w:val="false"/>
          <w:i w:val="false"/>
          <w:sz w:val="20"/>
        </w:rPr>
        <w:t/>
      </w:r>
    </w:p>
    <w:p>
      <w:pPr>
        <w:pStyle w:val="ab"/>
      </w:pPr>
      <w:r>
        <w:t>发言人1 问：对于优博讯海外业务和AI加AIDC的战略推进情况如何？</w:t>
      </w:r>
    </w:p>
    <w:p>
      <w:r>
        <w:rPr>
          <w:rFonts w:ascii="等线(中文正文)" w:hAnsi="等线(中文正文)" w:cs="等线(中文正文)" w:eastAsia="等线(中文正文)"/>
          <w:b w:val="false"/>
          <w:i w:val="false"/>
          <w:sz w:val="20"/>
        </w:rPr>
        <w:t>发言人1 答：现阶段，优博讯的海外业务以及公司AI与AIDC相结合的战略驱动上表现出积极态势，特别是在AI业务的推进方面取得了边界性的成果。近期邀请了英国新任董秘刘总进行相关分享。</w:t>
      </w:r>
    </w:p>
    <w:p>
      <w:r>
        <w:rPr>
          <w:rFonts w:ascii="等线(中文正文)" w:hAnsi="等线(中文正文)" w:cs="等线(中文正文)" w:eastAsia="等线(中文正文)"/>
          <w:b w:val="false"/>
          <w:i w:val="false"/>
          <w:sz w:val="20"/>
        </w:rPr>
        <w:t/>
      </w:r>
    </w:p>
    <w:p>
      <w:pPr>
        <w:pStyle w:val="ab"/>
      </w:pPr>
      <w:r>
        <w:t>发言人1 问：优博讯2025年度年报和2026年一季报的主要业绩情况及增长驱动因素是什么？</w:t>
      </w:r>
    </w:p>
    <w:p>
      <w:r>
        <w:rPr>
          <w:rFonts w:ascii="等线(中文正文)" w:hAnsi="等线(中文正文)" w:cs="等线(中文正文)" w:eastAsia="等线(中文正文)"/>
          <w:b w:val="false"/>
          <w:i w:val="false"/>
          <w:sz w:val="20"/>
        </w:rPr>
        <w:t>发言人1 答：优博讯在2025年度年报和2026年一季度报告中显示，营业收入与净利润均实现了同比大幅增长，体现了公司主营业务持续向好的趋势。一季度业绩拐点的确认主要源于三个方面驱动：一是持续强化技术创新与产品升级，特别是在AI战略布局下，智能终端产品和解决方案实现智能化和AI化升级；二是通过智能终端与云端大模型的协同架构，构建了端边云弹性协同体系，提升了复杂任务处理能力；三是主营产品AIDC智能终端加速了向具备本地感知、边缘推理、智能交互和任务辅助能力的智能决策终端和AI应用载体的升级，增强了产品附加值和解决方案能力，拓宽了应用场景。</w:t>
      </w:r>
    </w:p>
    <w:p>
      <w:r>
        <w:rPr>
          <w:rFonts w:ascii="等线(中文正文)" w:hAnsi="等线(中文正文)" w:cs="等线(中文正文)" w:eastAsia="等线(中文正文)"/>
          <w:b w:val="false"/>
          <w:i w:val="false"/>
          <w:sz w:val="20"/>
        </w:rPr>
        <w:t/>
      </w:r>
    </w:p>
    <w:p>
      <w:pPr>
        <w:pStyle w:val="ab"/>
      </w:pPr>
      <w:r>
        <w:t>发言人1 问：公司在市场端取得了怎样的成绩？</w:t>
      </w:r>
    </w:p>
    <w:p>
      <w:r>
        <w:rPr>
          <w:rFonts w:ascii="等线(中文正文)" w:hAnsi="等线(中文正文)" w:cs="等线(中文正文)" w:eastAsia="等线(中文正文)"/>
          <w:b w:val="false"/>
          <w:i w:val="false"/>
          <w:sz w:val="20"/>
        </w:rPr>
        <w:t>发言人1 答：在市场端，优博讯采取针对性极强的市场策略，形成国内外市场竞争优势。特别是在海外市场，没有强有力的国内竞争对手，且全球其他区域的市场未对其造成大的冲击。目前，公司海外营收同比增长迅速，已占公司整体营收比例接近65%，其中欧洲市场通过标杆客户的示范效应呈现星火燎原之势，而新兴市场如印度、中东、非洲和南美也处于产业数字化和AIDC应用从0到1的过程中，具有较大发展潜力。</w:t>
      </w:r>
    </w:p>
    <w:p>
      <w:r>
        <w:rPr>
          <w:rFonts w:ascii="等线(中文正文)" w:hAnsi="等线(中文正文)" w:cs="等线(中文正文)" w:eastAsia="等线(中文正文)"/>
          <w:b w:val="false"/>
          <w:i w:val="false"/>
          <w:sz w:val="20"/>
        </w:rPr>
        <w:t/>
      </w:r>
    </w:p>
    <w:p>
      <w:pPr>
        <w:pStyle w:val="ab"/>
      </w:pPr>
      <w:r>
        <w:t>发言人1 问：公司今年在AI端测智能体边算力的研发投入增量大概有多少？以及AI业务预计何时能形成显著的收入贡献？</w:t>
      </w:r>
    </w:p>
    <w:p>
      <w:r>
        <w:rPr>
          <w:rFonts w:ascii="等线(中文正文)" w:hAnsi="等线(中文正文)" w:cs="等线(中文正文)" w:eastAsia="等线(中文正文)"/>
          <w:b w:val="false"/>
          <w:i w:val="false"/>
          <w:sz w:val="20"/>
        </w:rPr>
        <w:t>发言人1 答：首先从人员方面，我们在武汉成都软件团队针对性地扩充了大概40人的团队，深圳这边在架构上增加了五六个人，整体配置约为四五十人。从收入上看，今年预计会实现1000到2000万的订阅费收入，但由于很多项目还处在试点阶段未大规模铺开，并且主要在海外，海外客户对软件和服务的价值认知较高，因此收费订阅会有一定盈利。</w:t>
      </w:r>
    </w:p>
    <w:p>
      <w:r>
        <w:rPr>
          <w:rFonts w:ascii="等线(中文正文)" w:hAnsi="等线(中文正文)" w:cs="等线(中文正文)" w:eastAsia="等线(中文正文)"/>
          <w:b w:val="false"/>
          <w:i w:val="false"/>
          <w:sz w:val="20"/>
        </w:rPr>
        <w:t/>
      </w:r>
    </w:p>
    <w:p>
      <w:pPr>
        <w:pStyle w:val="ab"/>
      </w:pPr>
      <w:r>
        <w:t>发言人1 问：目前轻量化大模型公司内嵌终端的出口比例和成本变化是怎样的？以及大模型降价对公司的产品毛利议价能力有何影响？</w:t>
      </w:r>
    </w:p>
    <w:p>
      <w:r>
        <w:rPr>
          <w:rFonts w:ascii="等线(中文正文)" w:hAnsi="等线(中文正文)" w:cs="等线(中文正文)" w:eastAsia="等线(中文正文)"/>
          <w:b w:val="false"/>
          <w:i w:val="false"/>
          <w:sz w:val="20"/>
        </w:rPr>
        <w:t>发言人1 答：目前轻量化大模型在公司整体收入和出货占比虽小，但产品在客户端的议价能力提高，对客户系统的绑定也变得更紧密，有助于维系大客户关系。虽然无法进行量化测算，但从整体趋势来看，随着大模型的降价，公司的产品毛利及议价能力会有所提升。</w:t>
      </w:r>
    </w:p>
    <w:p>
      <w:r>
        <w:rPr>
          <w:rFonts w:ascii="等线(中文正文)" w:hAnsi="等线(中文正文)" w:cs="等线(中文正文)" w:eastAsia="等线(中文正文)"/>
          <w:b w:val="false"/>
          <w:i w:val="false"/>
          <w:sz w:val="20"/>
        </w:rPr>
        <w:t/>
      </w:r>
    </w:p>
    <w:p>
      <w:pPr>
        <w:pStyle w:val="ab"/>
      </w:pPr>
      <w:r>
        <w:t>发言人1 问：物流零售行业的工业上半年订单增速如何？以及行业AI设备替换周期、下游资本开支回暖情况如何？</w:t>
      </w:r>
    </w:p>
    <w:p>
      <w:r>
        <w:rPr>
          <w:rFonts w:ascii="等线(中文正文)" w:hAnsi="等线(中文正文)" w:cs="等线(中文正文)" w:eastAsia="等线(中文正文)"/>
          <w:b w:val="false"/>
          <w:i w:val="false"/>
          <w:sz w:val="20"/>
        </w:rPr>
        <w:t>发言人1 答：物流零售制造行业虽未做具体数据拆分，但增长最快的是制造行业，尤其是生产制造行业，预计将成为自动识别和数据采集行业最大的增量市场。相较于美国市场50%以上的AIDC市场由生产制造行业贡献，中国市场的这一比例较低，但未来增长较快。资本开支方面，国内企业维持较大背景，而海外发达国家企业数字化资本开支增长幅度大，面临软硬件更新换代的需求，发展中国家则处于从0到1的过程，资本开支投入巨大。因此，资本开支不会成为市场拓展的限制因素，公司正重点将资源投入海外市场。</w:t>
      </w:r>
    </w:p>
    <w:p>
      <w:r>
        <w:rPr>
          <w:rFonts w:ascii="等线(中文正文)" w:hAnsi="等线(中文正文)" w:cs="等线(中文正文)" w:eastAsia="等线(中文正文)"/>
          <w:b w:val="false"/>
          <w:i w:val="false"/>
          <w:sz w:val="20"/>
        </w:rPr>
        <w:t/>
      </w:r>
    </w:p>
    <w:p>
      <w:pPr>
        <w:pStyle w:val="ab"/>
      </w:pPr>
      <w:r>
        <w:t>发言人1 问：毛利率相比海外市场较低，公司为何重点拓展海外市场？海外高端市场能否保持高增长以及海外AI终端的溢价落地情况如何？</w:t>
      </w:r>
    </w:p>
    <w:p>
      <w:r>
        <w:rPr>
          <w:rFonts w:ascii="等线(中文正文)" w:hAnsi="等线(中文正文)" w:cs="等线(中文正文)" w:eastAsia="等线(中文正文)"/>
          <w:b w:val="false"/>
          <w:i w:val="false"/>
          <w:sz w:val="20"/>
        </w:rPr>
        <w:t>发言人1 答：我们基于现实考量重点拓展海外市场，因为海外市场的毛利率相对较高。在国内市场方面，我们维持并同步提升特定行业市场份额，同时将战略性核心资源转向海外市场投入。我们认为海外市场的高增长至少可以持续十年以上。目前在全球市场份额仅为1%，凭借中国高性价比优势及软件层面的一体化优势，我们具备对标欧美巨头的独特竞争优势。海外竞争对手主要是欧美传统巨头，在这样的市场格局下，海外市场的持续高增长是确定的。</w:t>
      </w:r>
    </w:p>
    <w:p>
      <w:r>
        <w:rPr>
          <w:rFonts w:ascii="等线(中文正文)" w:hAnsi="等线(中文正文)" w:cs="等线(中文正文)" w:eastAsia="等线(中文正文)"/>
          <w:b w:val="false"/>
          <w:i w:val="false"/>
          <w:sz w:val="20"/>
        </w:rPr>
        <w:t/>
      </w:r>
    </w:p>
    <w:p>
      <w:pPr>
        <w:pStyle w:val="ab"/>
      </w:pPr>
      <w:r>
        <w:t>发言人1 问：国内外毛利率差异是怎样的？</w:t>
      </w:r>
    </w:p>
    <w:p>
      <w:r>
        <w:rPr>
          <w:rFonts w:ascii="等线(中文正文)" w:hAnsi="等线(中文正文)" w:cs="等线(中文正文)" w:eastAsia="等线(中文正文)"/>
          <w:b w:val="false"/>
          <w:i w:val="false"/>
          <w:sz w:val="20"/>
        </w:rPr>
        <w:t>发言人1 答：在海外市场，特别是在欧洲市场，我们采取了较为激进的定价策略，给予合作伙伴更大的毛利空间，即使如此，我们在欧洲的毛利率也有40%以上，整体海外毛利率约为36%-37%。而对比国内，毛利率接近20%，国内外毛利率差异较大。</w:t>
      </w:r>
    </w:p>
    <w:p>
      <w:r>
        <w:rPr>
          <w:rFonts w:ascii="等线(中文正文)" w:hAnsi="等线(中文正文)" w:cs="等线(中文正文)" w:eastAsia="等线(中文正文)"/>
          <w:b w:val="false"/>
          <w:i w:val="false"/>
          <w:sz w:val="20"/>
        </w:rPr>
        <w:t/>
      </w:r>
    </w:p>
    <w:p>
      <w:pPr>
        <w:pStyle w:val="ab"/>
      </w:pPr>
      <w:r>
        <w:t>发言人1 问：零售物流工业盘点智能体当前的落地客户数据、订单体量及收费模式是怎样的？</w:t>
      </w:r>
    </w:p>
    <w:p>
      <w:r>
        <w:rPr>
          <w:rFonts w:ascii="等线(中文正文)" w:hAnsi="等线(中文正文)" w:cs="等线(中文正文)" w:eastAsia="等线(中文正文)"/>
          <w:b w:val="false"/>
          <w:i w:val="false"/>
          <w:sz w:val="20"/>
        </w:rPr>
        <w:t>发言人1 答：目前已有八九家客户签署订阅协议，今年收入预计在1000万至2000万之间，主要处于市场推广阶段。收费模式包括一次性license收费和年度订阅费两种。</w:t>
      </w:r>
    </w:p>
    <w:p>
      <w:r>
        <w:rPr>
          <w:rFonts w:ascii="等线(中文正文)" w:hAnsi="等线(中文正文)" w:cs="等线(中文正文)" w:eastAsia="等线(中文正文)"/>
          <w:b w:val="false"/>
          <w:i w:val="false"/>
          <w:sz w:val="20"/>
        </w:rPr>
        <w:t/>
      </w:r>
    </w:p>
    <w:p>
      <w:pPr>
        <w:pStyle w:val="ab"/>
      </w:pPr>
      <w:r>
        <w:t>发言人1 问：AI智能终端的议价空间及AI算法服务收入占比如何？</w:t>
      </w:r>
    </w:p>
    <w:p>
      <w:r>
        <w:rPr>
          <w:rFonts w:ascii="等线(中文正文)" w:hAnsi="等线(中文正文)" w:cs="等线(中文正文)" w:eastAsia="等线(中文正文)"/>
          <w:b w:val="false"/>
          <w:i w:val="false"/>
          <w:sz w:val="20"/>
        </w:rPr>
        <w:t>发言人1 答：对于AI智能终端，我们将继续沿袭既定市场推广策略，先立标杆客户，再进行行业市场推广。AI算法服务收入对应的毛利可达100%。</w:t>
      </w:r>
    </w:p>
    <w:p>
      <w:r>
        <w:rPr>
          <w:rFonts w:ascii="等线(中文正文)" w:hAnsi="等线(中文正文)" w:cs="等线(中文正文)" w:eastAsia="等线(中文正文)"/>
          <w:b w:val="false"/>
          <w:i w:val="false"/>
          <w:sz w:val="20"/>
        </w:rPr>
        <w:t/>
      </w:r>
    </w:p>
    <w:p>
      <w:pPr>
        <w:pStyle w:val="ab"/>
      </w:pPr>
      <w:r>
        <w:t>发言人1 问：相较于同行公司在AI终端和行业智能体的核心竞争壁垒是什么？</w:t>
      </w:r>
    </w:p>
    <w:p>
      <w:r>
        <w:rPr>
          <w:rFonts w:ascii="等线(中文正文)" w:hAnsi="等线(中文正文)" w:cs="等线(中文正文)" w:eastAsia="等线(中文正文)"/>
          <w:b w:val="false"/>
          <w:i w:val="false"/>
          <w:sz w:val="20"/>
        </w:rPr>
        <w:t>发言人1 答：我们的核心竞争力在于对物流、快递、零售电商等行业业务流程有深入理解和认知，能够将AI技术更好地融入客户应用场景中，提供基于特定行业场景的功能价值，这是欧美同行所欠缺的。</w:t>
      </w:r>
    </w:p>
    <w:p>
      <w:r>
        <w:rPr>
          <w:rFonts w:ascii="等线(中文正文)" w:hAnsi="等线(中文正文)" w:cs="等线(中文正文)" w:eastAsia="等线(中文正文)"/>
          <w:b w:val="false"/>
          <w:i w:val="false"/>
          <w:sz w:val="20"/>
        </w:rPr>
        <w:t/>
      </w:r>
    </w:p>
    <w:p>
      <w:pPr>
        <w:pStyle w:val="ab"/>
      </w:pPr>
      <w:r>
        <w:t>发言人1 问：公司内部AI使用情况及每年在大模型上的投入是多少？</w:t>
      </w:r>
    </w:p>
    <w:p>
      <w:r>
        <w:rPr>
          <w:rFonts w:ascii="等线(中文正文)" w:hAnsi="等线(中文正文)" w:cs="等线(中文正文)" w:eastAsia="等线(中文正文)"/>
          <w:b w:val="false"/>
          <w:i w:val="false"/>
          <w:sz w:val="20"/>
        </w:rPr>
        <w:t>发言人1 答：目前有4到5个智能体在不同行业的实际场景中使用，公司有一个约450人的专属团队，今年在AI领域的投入超过2000万元。</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2026-06-14T07:28:38Z</dcterms:created>
  <dc:creator>Apache POI</dc:creator>
</cp:coreProperties>
</file>