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【华润微】芯跃新阶 全链路卡位AI算力与新能源 260613_原文</w:t>
      </w:r>
    </w:p>
    <w:p>
      <w:pPr>
        <w:jc w:val="center"/>
      </w:pPr>
      <w:r>
        <w:rPr>
          <w:rFonts w:ascii="等线(中文正文)" w:hAnsi="等线(中文正文)" w:cs="等线(中文正文)" w:eastAsia="等线(中文正文)"/>
          <w:b w:val="false"/>
          <w:i w:val="false"/>
          <w:sz w:val="20"/>
        </w:rPr>
        <w:t>2026年06月13日 14:06</w:t>
      </w:r>
    </w:p>
    <w:p>
      <w:r>
        <w:rPr>
          <w:rFonts w:ascii="等线(中文正文)" w:hAnsi="等线(中文正文)" w:cs="等线(中文正文)" w:eastAsia="等线(中文正文)"/>
          <w:b w:val="false"/>
          <w:i w:val="false"/>
          <w:sz w:val="20"/>
        </w:rPr>
        <w:t>发言人1   00:12</w:t>
      </w:r>
    </w:p>
    <w:p>
      <w:r>
        <w:rPr>
          <w:rFonts w:ascii="等线(中文正文)" w:hAnsi="等线(中文正文)" w:cs="等线(中文正文)" w:eastAsia="等线(中文正文)"/>
          <w:b w:val="false"/>
          <w:i w:val="false"/>
          <w:sz w:val="20"/>
        </w:rPr>
        <w:t>2025年是十四五收官15起新的关键之年。华润微电子锚定IBM长板，聚焦新能源与AI驱动双主线，乘势而上。2025年实现了营业收入是110.5 4亿元，同比增长9.24%，规模净利润为6.61亿亿元，经营性利润超10亿元以上，经营的底盘稳中有进，内生增长的根基持续加固。2026年一季度强势开局，营收28.5 7亿元，同比提升21.34%，规模净利润3.3亿元，同比增幅了近三倍。产能利用率保持满载订单能见度显著提升，也为15发展奠定了一个扎实的起点。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w:t>
      </w:r>
    </w:p>
    <w:p>
      <w:r>
        <w:rPr>
          <w:rFonts w:ascii="等线(中文正文)" w:hAnsi="等线(中文正文)" w:cs="等线(中文正文)" w:eastAsia="等线(中文正文)"/>
          <w:b w:val="false"/>
          <w:i w:val="false"/>
          <w:sz w:val="20"/>
        </w:rPr>
        <w:t>我们相信没有研发的后期就没有业务的爆发。十四五期间累计研发投入我们是超过了50亿元，2025年达到了11.6 8亿元，近三年占比是超过10%。截至2025年末，累计获得授权的有效专利是2547项，发明专利占比是85.87%，并获得了江苏省科技进步二等奖。正是这样的一个研发强度，支撑起了业务和项目的实质性的突破。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01:46</w:t>
      </w:r>
    </w:p>
    <w:p>
      <w:r>
        <w:rPr>
          <w:rFonts w:ascii="等线(中文正文)" w:hAnsi="等线(中文正文)" w:cs="等线(中文正文)" w:eastAsia="等线(中文正文)"/>
          <w:b w:val="false"/>
          <w:i w:val="false"/>
          <w:sz w:val="20"/>
        </w:rPr>
        <w:t>在业务增长上我们实现了多条曲线的协同，发力推基半导体基本盘稳固泛新能源领域的占比4%，是扛起了第一增长极。Most fair实现了车规级的全场景的覆盖，拓展至AI算力机器人等新兴赛道。Igbt批量的供应动力总成、充电桩等头部客户，新一代机器平台的落地。第三代半导体加速放量大合规器件及模块的收入翻番。车规级他硅模块完成了从商用车到乘用车的技术跨越。大家一默650伏平台量产，应用于AI服务器电源车载充电造成高增长的领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02:38</w:t>
      </w:r>
    </w:p>
    <w:p>
      <w:r>
        <w:rPr>
          <w:rFonts w:ascii="等线(中文正文)" w:hAnsi="等线(中文正文)" w:cs="等线(中文正文)" w:eastAsia="等线(中文正文)"/>
          <w:b w:val="false"/>
          <w:i w:val="false"/>
          <w:sz w:val="20"/>
        </w:rPr>
        <w:t>同时核心的项目的产能加速释放，依托两江三地的布局，重庆12英寸车规级产线提前一年半达到满产3万片的目标。深圳润鹏特色工艺产线业产能达到1.5万片。无锡高端眼膜项目9纳米的节点客户验证稳步推进，40纳米的节点已实现了量产，28纳米的工艺有序的开放，先进封装与功率封装业务同步提升，模块化的产品占比持续的提高。请关注公众号思维纪要社，更多纪要请加V西安20210130，面向实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03:28</w:t>
      </w:r>
    </w:p>
    <w:p>
      <w:r>
        <w:rPr>
          <w:rFonts w:ascii="等线(中文正文)" w:hAnsi="等线(中文正文)" w:cs="等线(中文正文)" w:eastAsia="等线(中文正文)"/>
          <w:b w:val="false"/>
          <w:i w:val="false"/>
          <w:sz w:val="20"/>
        </w:rPr>
        <w:t>我们将依托IDM全产业链条的优势，坚持内涵式增长与外延式拓展双轮驱动，积极拥抱AI加半导体的新浪潮。战略的重心聚焦三大增长曲线，硅基半导体及特色工艺碳化硅大马家第三代半导体传感器光芯片，推动功率半导体与传感业务深度的融入到AI的场景。在此基础上，我们将持续的做强产你的技术能力全面升级，工艺制造能力，系统夯实组织管理能力，着力于增强外延开拓整合能力，以此系统来锻造公司的综合核心竞争力，为15，五的战略目标落地提供坚实的支撑。同时我们将继续加大研发投入，加速重庆、深圳等核心项目的产能释放，巩固硅基基本盘，放大第三代半导体的先发优势，抢占传感器、光芯片的增量高地，强化在车规级AI算新能源的高价值赛道的卡位能力。我们有信心以稳健的增长和持续的价值创造回馈广大投资者的信任和期待。</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2026-06-13T07:21:46Z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E6636BB100BBAFBB4581D91E6DDB87447FDEBE0CE37DD7CDBA2C463F44DFE58A8E6B9DEC4D50E6D4A81DA718BC1F40E0856E84C3FB2B28005B7E0C7D5F0DCE6FB430035</vt:lpwstr>
  </property>
</Properties>
</file>