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【奥比中光】从“机器人之眼”迈向产业中台 260613_原文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2026年06月13日 14:06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00:25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大家好，我是奥比中光华园号。立足国家十五五未来产业战略布局，中国人工智能产业正迎来结构性历史性的关键变革。AI不再局限于云端算法的虚拟世界，而是全面迈向物理AI与自身智能规模化落地的新周期，物理AI的终极价值是让人工智能能读懂真实世界，落地真实场景，而3D视觉感知正是具身智能人形机器人，实现环境感知、自主决策、精准执行的底层入口与核心基础设施。物理AI的终极价值是让人工智能能读懂真实世界，落地真实场景。而3D视觉感知正是具身智能人形机器人，实现环境感知、自主决策、精准执行的底层入口与核心基础设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01:20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深耕3D视觉赛道十余载，奥比中光始终坚守硬科技初心，坚持攀最高的山峰等最硬的骨头，成立第二年即启动自研项目布局，迄今完成超时款芯片流片，全面布局结构光I透、双目低透、激光雷达等多条技术路线，搭建起覆盖芯片、光学算法、系统集成的完整技术平台。我们也始终相信一件事，技术领先不是终点，与工程化深度融合才是真正的隐形门槛。从实验室到政治世界，3D视觉要跨越光学算法与精密制造的多重耦合。做得出来和做得起、交得稳是两种完全不同的能力。今天，奥比中光已累计服务全球超5000家企业级客户，其中1600多家来自于机器人产业，是行业公认的核心3D视觉解决方案提供商。2025年是奥比中光从产品公司走向产业地位公司的关键一年，这一年我们走过了业绩拐点，全年实现营收9.4 1亿元，同比增长66.66%。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02:38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归母净利润1.2 8亿元，成功扭亏为盈，成为科创板成长成首批占优的六家企业之一，进入2026年一季度，扣非归母净利润同比增长531%，国内机器人销售收入已达去年同期三倍以上。盈利不再依赖单因素，而是来自产品结构化优化、海外拓展、机器人业务放量的多引擎共振。这一年，机器人业务真正放量仅2025年，机器人产品线新增客户超450家，累计服务包括天工、荣耀、优必选、智源、自变量在内的1600多家机器人企业。在中国，服务机器人、韩国移动机器人、3D视觉市场市占率均超过70%，交付周期由40天压缩至20天，并再次助力人形机器人半马冠军跑出中国加速度。这一年，研发加制造格局全面落地，顺德3D视觉感知产业智能制造基地顺利投产，越南制造基地完成选址扩展，计划五年内双基地产能突破1000万台，搭建起中国研发制造全球高效交互的一体化供应链体系。物理AI正在成为未来十年AI产业的新战线，而人均机器人是物理AI最具想象力的落地场景，一个十万亿美金级别的超级赛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04:09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摩根斯坦利预测到2036年全球人形机器人请关注公众号，思维纪要社，更多纪要请加V西安20210130保有量将达到2440万台。中国凭借完整的产业链优势，将在本轮浪潮中占据全球主导地位。在自产十年级的产业更替中，奥比中光的位置越发清晰。我们不只是机器人视觉零部件的细分龙头，更要做物理AI全域感知基础设施的平台龙头。最后我想对所有投资者说，奥比中光的价值源于一条10万亿级别的超级赛道，源于全栈3D视觉技术平台的极致稀缺性，更源于物理AI时代不可或缺的感知能力。我相信，中国机器人与人工智能产业终将引领全球。立足十五五规划，奥比中光愿在这场耐力长跑中，搭物理世界最坚实的基石，做产业链最可靠的同行制，与中国硬科技企业并肩前行，共同迎来属于中国机器人与人工智能产业的deep c时刻。谢谢大家。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2026-06-13T07:21:46Z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E6636BB100BBAFBB4581D91E6DDB87447FAEBE0CE37DD09DDA2C463F44DFE58A5E9B9DEC4D5DE6D4A81DA7B8A81F40EF806E84C3FB2B28005F719C7D5F0DCE61BA30035</vt:lpwstr>
  </property>
</Properties>
</file>