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安井食品 260611_导读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安井 速冻食品 餐饮连锁化率 锁鲜装 产能利用率 商誉减值 市场份额 产品创新 行业复苏 净利率 毛利率 并购 收入增长 利润率 产品升级 资本开支 销售费用率 研发费用 归母净利润 估值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最新安全食品深度报告聚焦安井食品基本面改善，自去年四季度收入增长加速，一季度利润同比增长43%。行业复苏、消费需求增长、以及安井凭借的渠道、产品和供应链优势是改善主因。公司通过产品创新、渠道拓展和外延并购增强竞争力，特别是在产品升级和新零售渠道的拥抱。报告预测安井未来收入和毛利率将持续增长，维持买入评级，看好其在产品创新、市场策略和财务表现方面的优势，预示着公司在行业中的领先地位将持续。</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安井食品基本面改善与行业趋势分析</w:t>
      </w:r>
    </w:p>
    <w:p>
      <w:r>
        <w:rPr>
          <w:rFonts w:ascii="等线(中文正文)" w:hAnsi="等线(中文正文)" w:cs="等线(中文正文)" w:eastAsia="等线(中文正文)"/>
          <w:b w:val="false"/>
          <w:i w:val="false"/>
          <w:sz w:val="20"/>
        </w:rPr>
        <w:t>报告深入分析了安井食品基本面改善的原因，包括餐饮行业自去年三季度起的阶梯性修复，尤其是节假日和特殊场景对餐饮需求的拉动。此外，餐饮行业以价换量的模式转变，以及上游供应链企业受益于政策影响减弱后的修复弹性，共同推动了安井食品业绩的增长。报告还探讨了公司核心优势及未来两三年的增长预期。</w:t>
      </w:r>
    </w:p>
    <w:p>
      <w:r>
        <w:rPr>
          <w:rFonts w:ascii="等线(中文正文)" w:hAnsi="等线(中文正文)" w:cs="等线(中文正文)" w:eastAsia="等线(中文正文)"/>
          <w:b w:val="false"/>
          <w:i w:val="false"/>
          <w:sz w:val="20"/>
        </w:rPr>
        <w:t/>
      </w:r>
    </w:p>
    <w:p>
      <w:pPr>
        <w:pStyle w:val="ab"/>
        <w:numPr>
          <w:numId w:val="2"/>
        </w:numPr>
      </w:pPr>
      <w:r>
        <w:t>02:18 速冻食品行业成长空间与驱动因素分析</w:t>
      </w:r>
    </w:p>
    <w:p>
      <w:r>
        <w:rPr>
          <w:rFonts w:ascii="等线(中文正文)" w:hAnsi="等线(中文正文)" w:cs="等线(中文正文)" w:eastAsia="等线(中文正文)"/>
          <w:b w:val="false"/>
          <w:i w:val="false"/>
          <w:sz w:val="20"/>
        </w:rPr>
        <w:t>对话讨论了中国速冻食品行业的发展潜力，指出人均消费量远低于发达国家，存在巨大成长空间。B端驱动因素包括餐饮连锁化率提升和对标准化食材需求增加；C端则受益于使用场景的扩展和消费升级趋势，如健康意识提升和对高品质速冻食品的需求增加。</w:t>
      </w:r>
    </w:p>
    <w:p>
      <w:r>
        <w:rPr>
          <w:rFonts w:ascii="等线(中文正文)" w:hAnsi="等线(中文正文)" w:cs="等线(中文正文)" w:eastAsia="等线(中文正文)"/>
          <w:b w:val="false"/>
          <w:i w:val="false"/>
          <w:sz w:val="20"/>
        </w:rPr>
        <w:t/>
      </w:r>
    </w:p>
    <w:p>
      <w:pPr>
        <w:pStyle w:val="ab"/>
        <w:numPr>
          <w:numId w:val="3"/>
        </w:numPr>
      </w:pPr>
      <w:r>
        <w:t>04:21 速冻行业竞争趋缓，安井稳健增长抢占市场份额</w:t>
      </w:r>
    </w:p>
    <w:p>
      <w:r>
        <w:rPr>
          <w:rFonts w:ascii="等线(中文正文)" w:hAnsi="等线(中文正文)" w:cs="等线(中文正文)" w:eastAsia="等线(中文正文)"/>
          <w:b w:val="false"/>
          <w:i w:val="false"/>
          <w:sz w:val="20"/>
        </w:rPr>
        <w:t>速冻行业在221年至23年经历大幅扩产后，需求下滑导致产能利用率普遍下降，但安井凭借稳健的供应链、低原材料成本及全国化工厂布局，保持高产能利用率与稳定净利率。2023年下半年起，安井加速抢占市场份额，收入增速远超行业大盘，核心得益于市场竞争趋缓、渠道积极及C端消费渠道转移的把握，整体财务指标优化明显，展现出强劲的增长势头。</w:t>
      </w:r>
    </w:p>
    <w:p>
      <w:r>
        <w:rPr>
          <w:rFonts w:ascii="等线(中文正文)" w:hAnsi="等线(中文正文)" w:cs="等线(中文正文)" w:eastAsia="等线(中文正文)"/>
          <w:b w:val="false"/>
          <w:i w:val="false"/>
          <w:sz w:val="20"/>
        </w:rPr>
        <w:t/>
      </w:r>
    </w:p>
    <w:p>
      <w:pPr>
        <w:pStyle w:val="ab"/>
        <w:numPr>
          <w:numId w:val="4"/>
        </w:numPr>
      </w:pPr>
      <w:r>
        <w:t>07:59 公司财务表现与行业周期影响分析</w:t>
      </w:r>
    </w:p>
    <w:p>
      <w:r>
        <w:rPr>
          <w:rFonts w:ascii="等线(中文正文)" w:hAnsi="等线(中文正文)" w:cs="等线(中文正文)" w:eastAsia="等线(中文正文)"/>
          <w:b w:val="false"/>
          <w:i w:val="false"/>
          <w:sz w:val="20"/>
        </w:rPr>
        <w:t>通过复盘公司过去几年的收入、盈利能力和市盈率，分析了公司在消费大牛市期间的股价高光时刻及其EPS稳步增长的情况。讨论了行业供需错配导致的利润率下降，以及公司报表端的降速和收入利润的微增。指出尽管面临行业挑战，公司财务表现仍保持稳健。</w:t>
      </w:r>
    </w:p>
    <w:p>
      <w:r>
        <w:rPr>
          <w:rFonts w:ascii="等线(中文正文)" w:hAnsi="等线(中文正文)" w:cs="等线(中文正文)" w:eastAsia="等线(中文正文)"/>
          <w:b w:val="false"/>
          <w:i w:val="false"/>
          <w:sz w:val="20"/>
        </w:rPr>
        <w:t/>
      </w:r>
    </w:p>
    <w:p>
      <w:pPr>
        <w:pStyle w:val="ab"/>
        <w:numPr>
          <w:numId w:val="5"/>
        </w:numPr>
      </w:pPr>
      <w:r>
        <w:t>09:36 公司核心竞争优势与渠道策略分析</w:t>
      </w:r>
    </w:p>
    <w:p>
      <w:r>
        <w:rPr>
          <w:rFonts w:ascii="等线(中文正文)" w:hAnsi="等线(中文正文)" w:cs="等线(中文正文)" w:eastAsia="等线(中文正文)"/>
          <w:b w:val="false"/>
          <w:i w:val="false"/>
          <w:sz w:val="20"/>
        </w:rPr>
        <w:t>对话深入探讨了公司在品类创新、渠道拓展以及经销商管理方面的核心竞争力。公司通过品类扩张与产品升级，成功进入新兴渠道，如山姆、小江超市和盒马，并以定制产品身份参与竞争。渠道方面，公司采取精简而高效的经销商模式，持续提升单位产出，通过数字化支持与电商转型辅导，增强经销商稳定性与合作深度，为行业复苏时抢占市场份额奠定基础。</w:t>
      </w:r>
    </w:p>
    <w:p>
      <w:r>
        <w:rPr>
          <w:rFonts w:ascii="等线(中文正文)" w:hAnsi="等线(中文正文)" w:cs="等线(中文正文)" w:eastAsia="等线(中文正文)"/>
          <w:b w:val="false"/>
          <w:i w:val="false"/>
          <w:sz w:val="20"/>
        </w:rPr>
        <w:t/>
      </w:r>
    </w:p>
    <w:p>
      <w:pPr>
        <w:pStyle w:val="ab"/>
        <w:numPr>
          <w:numId w:val="6"/>
        </w:numPr>
      </w:pPr>
      <w:r>
        <w:t>12:33 公司外延并购策略调整与成效分析</w:t>
      </w:r>
    </w:p>
    <w:p>
      <w:r>
        <w:rPr>
          <w:rFonts w:ascii="等线(中文正文)" w:hAnsi="等线(中文正文)" w:cs="等线(中文正文)" w:eastAsia="等线(中文正文)"/>
          <w:b w:val="false"/>
          <w:i w:val="false"/>
          <w:sz w:val="20"/>
        </w:rPr>
        <w:t>从2021年起，公司开始进行外延并购，初期侧重于上游原材料供应商，如新红叶、新六五，后因行业竞争加剧导致收入增速放缓及利润率下滑，公司并购策略调整，更加注重并购项目的盈利质量。2023年并购鼎味泰，其高利润率对公司整体业绩贡献显著。剔除新红叶、新六五影响，公司收入表现稳健，2023年和2024年均实现约10%的增长。2023年公司整体规模净利在剔除商誉减值影响后，仍实现约2%的增长。公司通过吸取前期经验教训，对外延并购更加谨慎，新并购标的盈利节奏控制良好。</w:t>
      </w:r>
    </w:p>
    <w:p>
      <w:r>
        <w:rPr>
          <w:rFonts w:ascii="等线(中文正文)" w:hAnsi="等线(中文正文)" w:cs="等线(中文正文)" w:eastAsia="等线(中文正文)"/>
          <w:b w:val="false"/>
          <w:i w:val="false"/>
          <w:sz w:val="20"/>
        </w:rPr>
        <w:t/>
      </w:r>
    </w:p>
    <w:p>
      <w:pPr>
        <w:pStyle w:val="ab"/>
        <w:numPr>
          <w:numId w:val="7"/>
        </w:numPr>
      </w:pPr>
      <w:r>
        <w:t>14:41 公司中长期发展展望：收入增长与成本控制</w:t>
      </w:r>
    </w:p>
    <w:p>
      <w:r>
        <w:rPr>
          <w:rFonts w:ascii="等线(中文正文)" w:hAnsi="等线(中文正文)" w:cs="等线(中文正文)" w:eastAsia="等线(中文正文)"/>
          <w:b w:val="false"/>
          <w:i w:val="false"/>
          <w:sz w:val="20"/>
        </w:rPr>
        <w:t>对话围绕公司中长期发展展望展开，分析了过去几年收入增长主要由量的驱动，尤其是速冻调理制品和速冻菜肴制品的增长。未来两三年，随着产品结构升级、行业竞争趋缓及促销力度减小，毛利率和利润率有望持续提升。成本端，肉类价格下降带来红利，而玉米类价格稳定，总体成本控制良好。资本开支放缓，折旧摊销增速慢于收入，进一步提升利润率空间。预计毛利率将持续改善，今年已体现改善迹象。</w:t>
      </w:r>
    </w:p>
    <w:p>
      <w:r>
        <w:rPr>
          <w:rFonts w:ascii="等线(中文正文)" w:hAnsi="等线(中文正文)" w:cs="等线(中文正文)" w:eastAsia="等线(中文正文)"/>
          <w:b w:val="false"/>
          <w:i w:val="false"/>
          <w:sz w:val="20"/>
        </w:rPr>
        <w:t/>
      </w:r>
    </w:p>
    <w:p>
      <w:pPr>
        <w:pStyle w:val="ab"/>
        <w:numPr>
          <w:numId w:val="8"/>
        </w:numPr>
      </w:pPr>
      <w:r>
        <w:t>17:25 餐饮企业盈利预测与估值分析</w:t>
      </w:r>
    </w:p>
    <w:p>
      <w:r>
        <w:rPr>
          <w:rFonts w:ascii="等线(中文正文)" w:hAnsi="等线(中文正文)" w:cs="等线(中文正文)" w:eastAsia="等线(中文正文)"/>
          <w:b w:val="false"/>
          <w:i w:val="false"/>
          <w:sz w:val="20"/>
        </w:rPr>
        <w:t>对话围绕一家餐饮企业的未来增长逻辑展开，指出行业弱复苏背景下，公司通过份额扩张实现收入双位数增长，预计2026年归母净利润同比增长33%，并给出20倍估值目标价108.22元，首次覆盖给予买入评级，较现股价有20%以上空间。</w:t>
      </w:r>
    </w:p>
    <w:p>
      <w:r>
        <w:rPr>
          <w:rFonts w:ascii="等线(中文正文)" w:hAnsi="等线(中文正文)" w:cs="等线(中文正文)" w:eastAsia="等线(中文正文)"/>
          <w:b w:val="false"/>
          <w:i w:val="false"/>
          <w:sz w:val="20"/>
        </w:rPr>
        <w:t/>
      </w:r>
    </w:p>
    <w:p>
      <w:pPr>
        <w:pStyle w:val="ab"/>
        <w:numPr>
          <w:numId w:val="9"/>
        </w:numPr>
      </w:pPr>
      <w:r>
        <w:t>19:16 安井食品近期基本面与市场表现分析</w:t>
      </w:r>
    </w:p>
    <w:p>
      <w:r>
        <w:rPr>
          <w:rFonts w:ascii="等线(中文正文)" w:hAnsi="等线(中文正文)" w:cs="等线(中文正文)" w:eastAsia="等线(中文正文)"/>
          <w:b w:val="false"/>
          <w:i w:val="false"/>
          <w:sz w:val="20"/>
        </w:rPr>
        <w:t>近期安井食品股价波动，五月同比增速放缓至大个位数，但整体二季度预计仍有接近20%的收入增速和30%以上的利润增速。尽管五月数据引发市场担忧，但长期看好公司基本面，认为其具备强劲阿尔法增长潜力，未来2-3年将维持高于行业增长。短期股价下跌视为错杀，预计半年报前股价将修复，若半年报超预期，股价有望继续上涨。当前消费市场底部，安井食品作为率先复苏的公司，受到资金关注，具备较强投资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对投资者进行了一场深入讲解，主题为安井食品的最新安全食品报告。报告指出，安井食品自去年第三季度以来基本面显著改善，尽管去年第四季度因商誉减值影响利润，整体在修复通道中，今年一季度利润增长43%。讨论分为行业背景和公司优势两个方面，分析了餐饮业修复及速冻食品行业成长空间，强调了节假日、体育赛事消费场景复苏和客单价下降为供应链企业带来的修复弹性，以及人均消费量、餐饮连锁化率提升和消费升级对行业及安井食品的积极影响。公司层面，他强调安井食品的核心竞争优势，包括产品创新、渠道优势及并购优化供应链和成本控制，认为公司有望实现高于行业平均水平的增长，特别是考虑到毛利率和净利率的潜在改善。基于积极评估和行业趋势，他推荐投资者关注安井食品，并给予了买入评级，强调了其在速冻食品行业的领先地位和长期增长潜力。</w:t>
      </w:r>
    </w:p>
    <w:p>
      <w:r>
        <w:rPr>
          <w:rFonts w:ascii="等线(中文正文)" w:hAnsi="等线(中文正文)" w:cs="等线(中文正文)" w:eastAsia="等线(中文正文)"/>
          <w:b w:val="false"/>
          <w:i w:val="false"/>
          <w:sz w:val="20"/>
        </w:rPr>
        <w:t/>
      </w:r>
    </w:p>
    <w:p>
      <w:pPr>
        <w:pStyle w:val="a7"/>
      </w:pPr>
      <w:r>
        <w:t>要点回顾</w:t>
      </w:r>
    </w:p>
    <w:p>
      <w:pPr>
        <w:pStyle w:val="ab"/>
      </w:pPr>
      <w:r>
        <w:t>安井食品报表基本面改善的主要原因是什么？</w:t>
      </w:r>
    </w:p>
    <w:p>
      <w:r>
        <w:rPr>
          <w:rFonts w:ascii="等线(中文正文)" w:hAnsi="等线(中文正文)" w:cs="等线(中文正文)" w:eastAsia="等线(中文正文)"/>
          <w:b w:val="false"/>
          <w:i w:val="false"/>
          <w:sz w:val="20"/>
        </w:rPr>
        <w:t>发言人1：安井食品报表基本面改善的背后主要有两个原因。首先，从去年三季度开始，公司的收入端逐渐提速，尤其是在去年Q4剔除商誉减值的影响后，利润率处于修复通道中。今年一季度，利润增速大幅释放，同比增长43%。这表明公司业绩有显著提升。</w:t>
      </w:r>
    </w:p>
    <w:p>
      <w:r>
        <w:rPr>
          <w:rFonts w:ascii="等线(中文正文)" w:hAnsi="等线(中文正文)" w:cs="等线(中文正文)" w:eastAsia="等线(中文正文)"/>
          <w:b w:val="false"/>
          <w:i w:val="false"/>
          <w:sz w:val="20"/>
        </w:rPr>
        <w:t/>
      </w:r>
    </w:p>
    <w:p>
      <w:pPr>
        <w:pStyle w:val="ab"/>
      </w:pPr>
      <w:r>
        <w:t>这一轮餐饮行业的修复中有哪些重要因素驱动了安井食品的增长？</w:t>
      </w:r>
    </w:p>
    <w:p>
      <w:r>
        <w:rPr>
          <w:rFonts w:ascii="等线(中文正文)" w:hAnsi="等线(中文正文)" w:cs="等线(中文正文)" w:eastAsia="等线(中文正文)"/>
          <w:b w:val="false"/>
          <w:i w:val="false"/>
          <w:sz w:val="20"/>
        </w:rPr>
        <w:t>发言人1：餐饮行业的修复中，有两个重要因素对安井食品等供应链企业产生了积极影响。一是下游消费场景的复苏，包括节假日出行、体育赛事及演唱会等活动拉动了餐饮需求；二是餐饮客单价在过去几年下降较多，大盘均价下降至少10%，促使餐饮企业采取“以价换量”的模式，从而带动上游供应链企业的修复弹性。</w:t>
      </w:r>
    </w:p>
    <w:p>
      <w:r>
        <w:rPr>
          <w:rFonts w:ascii="等线(中文正文)" w:hAnsi="等线(中文正文)" w:cs="等线(中文正文)" w:eastAsia="等线(中文正文)"/>
          <w:b w:val="false"/>
          <w:i w:val="false"/>
          <w:sz w:val="20"/>
        </w:rPr>
        <w:t/>
      </w:r>
    </w:p>
    <w:p>
      <w:pPr>
        <w:pStyle w:val="ab"/>
      </w:pPr>
      <w:r>
        <w:t>速冻食品赛道未来有哪些成长空间？</w:t>
      </w:r>
    </w:p>
    <w:p>
      <w:r>
        <w:rPr>
          <w:rFonts w:ascii="等线(中文正文)" w:hAnsi="等线(中文正文)" w:cs="等线(中文正文)" w:eastAsia="等线(中文正文)"/>
          <w:b w:val="false"/>
          <w:i w:val="false"/>
          <w:sz w:val="20"/>
        </w:rPr>
        <w:t>发言人1：速冻食品赛道有巨大的成长空间，主要以人均消费量为核心数据来衡量。目前我国人均年消费量约为10千克，远低于美国、英国、日本等发达国家的3至4倍水平，这意味着我国速冻食品的渗透率相对较低，还有很大的提升潜力。</w:t>
      </w:r>
    </w:p>
    <w:p>
      <w:r>
        <w:rPr>
          <w:rFonts w:ascii="等线(中文正文)" w:hAnsi="等线(中文正文)" w:cs="等线(中文正文)" w:eastAsia="等线(中文正文)"/>
          <w:b w:val="false"/>
          <w:i w:val="false"/>
          <w:sz w:val="20"/>
        </w:rPr>
        <w:t/>
      </w:r>
    </w:p>
    <w:p>
      <w:pPr>
        <w:pStyle w:val="ab"/>
      </w:pPr>
      <w:r>
        <w:t>BC两端分别有哪些驱动因素促进速冻食品行业发展？</w:t>
      </w:r>
    </w:p>
    <w:p>
      <w:r>
        <w:rPr>
          <w:rFonts w:ascii="等线(中文正文)" w:hAnsi="等线(中文正文)" w:cs="等线(中文正文)" w:eastAsia="等线(中文正文)"/>
          <w:b w:val="false"/>
          <w:i w:val="false"/>
          <w:sz w:val="20"/>
        </w:rPr>
        <w:t>发言人1：在B端，随着餐饮连锁化率持续提升，连锁餐饮企业对标准化食材的需求也在增长，它们希望通过提升出餐效率、降低对厨师依赖以及实现口味标准化来推动速冻食材需求的增长。C端方面，速冻食品已从单一依赖火锅场景向多元场景扩展，如早餐手抓饼、正餐中的空气炸锅食材等，消费升级趋势明显，消费者更倾向于购买高质量、健康安全的速冻产品。</w:t>
      </w:r>
    </w:p>
    <w:p>
      <w:r>
        <w:rPr>
          <w:rFonts w:ascii="等线(中文正文)" w:hAnsi="等线(中文正文)" w:cs="等线(中文正文)" w:eastAsia="等线(中文正文)"/>
          <w:b w:val="false"/>
          <w:i w:val="false"/>
          <w:sz w:val="20"/>
        </w:rPr>
        <w:t/>
      </w:r>
    </w:p>
    <w:p>
      <w:pPr>
        <w:pStyle w:val="ab"/>
      </w:pPr>
      <w:r>
        <w:t>为什么安井食品在行业竞争趋缓时仍能保持稳健增长？</w:t>
      </w:r>
    </w:p>
    <w:p>
      <w:r>
        <w:rPr>
          <w:rFonts w:ascii="等线(中文正文)" w:hAnsi="等线(中文正文)" w:cs="等线(中文正文)" w:eastAsia="等线(中文正文)"/>
          <w:b w:val="false"/>
          <w:i w:val="false"/>
          <w:sz w:val="20"/>
        </w:rPr>
        <w:t>发言人1：安井食品在行业需求下滑或增速放缓的大背景下，之所以能实现稳健增长，得益于其渠道产品和供应链的优势。即使面对行业大幅扩产导致产能利用率下降的挑战，安井凭借稳定的原材料供应、通过收并购获取较低原材料价格以及全国化工厂布局保证运费成本较低，实现了较高的产能利用率和较其他公司更为稳健的业绩表现。此外，尽管2025年受到商誉减值的影响，但剔除该因素后，安井的净利率仍然保持在相对稳定的9至10个点之间。</w:t>
      </w:r>
    </w:p>
    <w:p>
      <w:r>
        <w:rPr>
          <w:rFonts w:ascii="等线(中文正文)" w:hAnsi="等线(中文正文)" w:cs="等线(中文正文)" w:eastAsia="等线(中文正文)"/>
          <w:b w:val="false"/>
          <w:i w:val="false"/>
          <w:sz w:val="20"/>
        </w:rPr>
        <w:t/>
      </w:r>
    </w:p>
    <w:p>
      <w:pPr>
        <w:pStyle w:val="ab"/>
      </w:pPr>
      <w:r>
        <w:t>安井食品在去年下半年行业弱复苏时是如何抢占市场份额的？</w:t>
      </w:r>
    </w:p>
    <w:p>
      <w:r>
        <w:rPr>
          <w:rFonts w:ascii="等线(中文正文)" w:hAnsi="等线(中文正文)" w:cs="等线(中文正文)" w:eastAsia="等线(中文正文)"/>
          <w:b w:val="false"/>
          <w:i w:val="false"/>
          <w:sz w:val="20"/>
        </w:rPr>
        <w:t>发言人1：安井在行业弱复苏时通过市场竞争趋缓和自身渠道的积极性，实现了超额增速。去年Q4其收入增速达到了20%，今年Q1更是超过30%，这主要源于公司积极拥抱C端消费者注重质价比的趋势，并调整销售渠道，从传统农贸市场转向新零售、OTO和高端会员店等新兴渠道。</w:t>
      </w:r>
    </w:p>
    <w:p>
      <w:r>
        <w:rPr>
          <w:rFonts w:ascii="等线(中文正文)" w:hAnsi="等线(中文正文)" w:cs="等线(中文正文)" w:eastAsia="等线(中文正文)"/>
          <w:b w:val="false"/>
          <w:i w:val="false"/>
          <w:sz w:val="20"/>
        </w:rPr>
        <w:t/>
      </w:r>
    </w:p>
    <w:p>
      <w:pPr>
        <w:pStyle w:val="ab"/>
      </w:pPr>
      <w:r>
        <w:t>公司收入拐点出现较早的原因是什么？</w:t>
      </w:r>
    </w:p>
    <w:p>
      <w:r>
        <w:rPr>
          <w:rFonts w:ascii="等线(中文正文)" w:hAnsi="等线(中文正文)" w:cs="等线(中文正文)" w:eastAsia="等线(中文正文)"/>
          <w:b w:val="false"/>
          <w:i w:val="false"/>
          <w:sz w:val="20"/>
        </w:rPr>
        <w:t>发言人1：公司的收入拐点出现较早是因为公司在存货周转天数、应收账款周转天数等方面优于行业水平，自去年一季度以来保持逐季优化态势，反映出公司在市场竞争中占据优势以及渠道策略的成功。</w:t>
      </w:r>
    </w:p>
    <w:p>
      <w:r>
        <w:rPr>
          <w:rFonts w:ascii="等线(中文正文)" w:hAnsi="等线(中文正文)" w:cs="等线(中文正文)" w:eastAsia="等线(中文正文)"/>
          <w:b w:val="false"/>
          <w:i w:val="false"/>
          <w:sz w:val="20"/>
        </w:rPr>
        <w:t/>
      </w:r>
    </w:p>
    <w:p>
      <w:pPr>
        <w:pStyle w:val="ab"/>
      </w:pPr>
      <w:r>
        <w:t>公司过去几年的收入、盈利能力及股价表现如何？</w:t>
      </w:r>
    </w:p>
    <w:p>
      <w:r>
        <w:rPr>
          <w:rFonts w:ascii="等线(中文正文)" w:hAnsi="等线(中文正文)" w:cs="等线(中文正文)" w:eastAsia="等线(中文正文)"/>
          <w:b w:val="false"/>
          <w:i w:val="false"/>
          <w:sz w:val="20"/>
        </w:rPr>
        <w:t>发言人1：过去几年，安井食品在20年到21年间经历了股价高光时刻，涨幅显著，这一阶段主要得益于PE扩张及EPS稳步上升。尽管21年到22年期间股价有所回调，估值消化，但EPS仍在不断增长。从20年到25年上半年，公司收入增速始终保持高位，即使在行业供需错配导致产能利用率偏低引发价格战的时期，收入利润增速仍保持在30%以上。</w:t>
      </w:r>
    </w:p>
    <w:p>
      <w:r>
        <w:rPr>
          <w:rFonts w:ascii="等线(中文正文)" w:hAnsi="等线(中文正文)" w:cs="等线(中文正文)" w:eastAsia="等线(中文正文)"/>
          <w:b w:val="false"/>
          <w:i w:val="false"/>
          <w:sz w:val="20"/>
        </w:rPr>
        <w:t/>
      </w:r>
    </w:p>
    <w:p>
      <w:pPr>
        <w:pStyle w:val="ab"/>
      </w:pPr>
      <w:r>
        <w:t>近年来公司报表端的变化及原因是什么？</w:t>
      </w:r>
    </w:p>
    <w:p>
      <w:r>
        <w:rPr>
          <w:rFonts w:ascii="等线(中文正文)" w:hAnsi="等线(中文正文)" w:cs="等线(中文正文)" w:eastAsia="等线(中文正文)"/>
          <w:b w:val="false"/>
          <w:i w:val="false"/>
          <w:sz w:val="20"/>
        </w:rPr>
        <w:t>发言人1：自2023年开始，公司的收入增长有所降速，2024年和2025年的收入基本实现大个位数增长，利润端2024年持平微增，2025年剔除商誉减值影响后也有微增。公司的报表相对稳健，内生性收入利润仍在增长，这主要得益于公司品类扩张策略的成功转型，从粗放的大单品管理模式进化为以新品类驱动、结构优化的模式，并通过产品创新和包装升级，成功打造多个大单品，进入新兴销售渠道。</w:t>
      </w:r>
    </w:p>
    <w:p>
      <w:r>
        <w:rPr>
          <w:rFonts w:ascii="等线(中文正文)" w:hAnsi="等线(中文正文)" w:cs="等线(中文正文)" w:eastAsia="等线(中文正文)"/>
          <w:b w:val="false"/>
          <w:i w:val="false"/>
          <w:sz w:val="20"/>
        </w:rPr>
        <w:t/>
      </w:r>
    </w:p>
    <w:p>
      <w:pPr>
        <w:pStyle w:val="ab"/>
      </w:pPr>
      <w:r>
        <w:t>公司经销商数量及单位产出情况如何？</w:t>
      </w:r>
    </w:p>
    <w:p>
      <w:r>
        <w:rPr>
          <w:rFonts w:ascii="等线(中文正文)" w:hAnsi="等线(中文正文)" w:cs="等线(中文正文)" w:eastAsia="等线(中文正文)"/>
          <w:b w:val="false"/>
          <w:i w:val="false"/>
          <w:sz w:val="20"/>
        </w:rPr>
        <w:t>发言人1：安井食品经销商数量相对精简，每年小幅增长，保持在两千多家，而竞争对手如三全则在下降。安井经销商单位产出持续提升，每年保持在500万至1000万元附近，远高于三全等其他公司，形成大商模式。公司通过扶持经销商推动运营平台升级、数字化支持以及电商和新零售转型，增强了经销商的合作稳定性与信心，在行业复苏时助力公司抢占市场份额。</w:t>
      </w:r>
    </w:p>
    <w:p>
      <w:r>
        <w:rPr>
          <w:rFonts w:ascii="等线(中文正文)" w:hAnsi="等线(中文正文)" w:cs="等线(中文正文)" w:eastAsia="等线(中文正文)"/>
          <w:b w:val="false"/>
          <w:i w:val="false"/>
          <w:sz w:val="20"/>
        </w:rPr>
        <w:t/>
      </w:r>
    </w:p>
    <w:p>
      <w:pPr>
        <w:pStyle w:val="ab"/>
      </w:pPr>
      <w:r>
        <w:t>公司近年来并购项目的节奏和要求发生了怎样的变化？</w:t>
      </w:r>
    </w:p>
    <w:p>
      <w:r>
        <w:rPr>
          <w:rFonts w:ascii="等线(中文正文)" w:hAnsi="等线(中文正文)" w:cs="等线(中文正文)" w:eastAsia="等线(中文正文)"/>
          <w:b w:val="false"/>
          <w:i w:val="false"/>
          <w:sz w:val="20"/>
        </w:rPr>
        <w:t>发言人1：近年来，公司的并购节奏相对放缓，对并购公司的要求更为严格。以前并购时可能更注重收入增长，特别是对于利润率较低的上游农产品公司也接受。但最近几年，公司更加重视并购项目的盈利质量，这主要是由于行业竞争加剧，如小龙虾行业和部分养殖业的扩张导致新红爷星六五等公司的收入增速放缓及利润率下滑。</w:t>
      </w:r>
    </w:p>
    <w:p>
      <w:r>
        <w:rPr>
          <w:rFonts w:ascii="等线(中文正文)" w:hAnsi="等线(中文正文)" w:cs="等线(中文正文)" w:eastAsia="等线(中文正文)"/>
          <w:b w:val="false"/>
          <w:i w:val="false"/>
          <w:sz w:val="20"/>
        </w:rPr>
        <w:t/>
      </w:r>
    </w:p>
    <w:p>
      <w:pPr>
        <w:pStyle w:val="ab"/>
      </w:pPr>
      <w:r>
        <w:t>过去几年公司为何更加注重并购项目的盈利质量？</w:t>
      </w:r>
    </w:p>
    <w:p>
      <w:r>
        <w:rPr>
          <w:rFonts w:ascii="等线(中文正文)" w:hAnsi="等线(中文正文)" w:cs="等线(中文正文)" w:eastAsia="等线(中文正文)"/>
          <w:b w:val="false"/>
          <w:i w:val="false"/>
          <w:sz w:val="20"/>
        </w:rPr>
        <w:t>发言人1：公司过去几年注重并购项目盈利质量是因为新弘业和新六五这两个公司在面对市场竞争加剧和收入增速放缓时，利润率出现大幅下滑。尽管整体上除去这两个公司的影响后，公司整体收入仍保持稳健增长，但吸取前期经验教训后，公司在外延并购方面变得更加谨慎，并且对新的并购标的盈利节奏把控得较好。</w:t>
      </w:r>
    </w:p>
    <w:p>
      <w:r>
        <w:rPr>
          <w:rFonts w:ascii="等线(中文正文)" w:hAnsi="等线(中文正文)" w:cs="等线(中文正文)" w:eastAsia="等线(中文正文)"/>
          <w:b w:val="false"/>
          <w:i w:val="false"/>
          <w:sz w:val="20"/>
        </w:rPr>
        <w:t/>
      </w:r>
    </w:p>
    <w:p>
      <w:pPr>
        <w:pStyle w:val="ab"/>
      </w:pPr>
      <w:r>
        <w:t>对于公司中长期发展展望，收入增长的主要驱动力是什么？</w:t>
      </w:r>
    </w:p>
    <w:p>
      <w:r>
        <w:rPr>
          <w:rFonts w:ascii="等线(中文正文)" w:hAnsi="等线(中文正文)" w:cs="等线(中文正文)" w:eastAsia="等线(中文正文)"/>
          <w:b w:val="false"/>
          <w:i w:val="false"/>
          <w:sz w:val="20"/>
        </w:rPr>
        <w:t>发言人1：公司中长期收入增长的主要驱动力是量的增长，尤其是速冻调理制品和速冻菜肴制品等板块的增长较快，且主要由量的驱动。此外，随着公司持续提质增效、优化产品结构以及行业竞争趋缓，未来两三年毛利率有望持续提升。</w:t>
      </w:r>
    </w:p>
    <w:p>
      <w:r>
        <w:rPr>
          <w:rFonts w:ascii="等线(中文正文)" w:hAnsi="等线(中文正文)" w:cs="等线(中文正文)" w:eastAsia="等线(中文正文)"/>
          <w:b w:val="false"/>
          <w:i w:val="false"/>
          <w:sz w:val="20"/>
        </w:rPr>
        <w:t/>
      </w:r>
    </w:p>
    <w:p>
      <w:pPr>
        <w:pStyle w:val="ab"/>
      </w:pPr>
      <w:r>
        <w:t>在成本方面，公司如何应对大宗商品涨价以及规模效应的影响？</w:t>
      </w:r>
    </w:p>
    <w:p>
      <w:r>
        <w:rPr>
          <w:rFonts w:ascii="等线(中文正文)" w:hAnsi="等线(中文正文)" w:cs="等线(中文正文)" w:eastAsia="等线(中文正文)"/>
          <w:b w:val="false"/>
          <w:i w:val="false"/>
          <w:sz w:val="20"/>
        </w:rPr>
        <w:t>发言人1：公司成本中玉米、肉类等原材料占比大，其中猪肉价格持续下降有利于成本控制。从规模效应看，资本开支和折旧摊销增速放缓或下降，不会对收入和毛利率造成负面影响。只要折旧摊销增速低于收入增速，利润率就有提升空间。</w:t>
      </w:r>
    </w:p>
    <w:p>
      <w:r>
        <w:rPr>
          <w:rFonts w:ascii="等线(中文正文)" w:hAnsi="等线(中文正文)" w:cs="等线(中文正文)" w:eastAsia="等线(中文正文)"/>
          <w:b w:val="false"/>
          <w:i w:val="false"/>
          <w:sz w:val="20"/>
        </w:rPr>
        <w:t/>
      </w:r>
    </w:p>
    <w:p>
      <w:pPr>
        <w:pStyle w:val="ab"/>
      </w:pPr>
      <w:r>
        <w:t>盈利预测中毛利率改善的主要来源有哪些？</w:t>
      </w:r>
    </w:p>
    <w:p>
      <w:r>
        <w:rPr>
          <w:rFonts w:ascii="等线(中文正文)" w:hAnsi="等线(中文正文)" w:cs="等线(中文正文)" w:eastAsia="等线(中文正文)"/>
          <w:b w:val="false"/>
          <w:i w:val="false"/>
          <w:sz w:val="20"/>
        </w:rPr>
        <w:t>发言人1：毛利率改善的主要来源包括行业竞争趋缓带来的产品升级和产品溢价提升，以及销售单价的修复。预计今年毛利率增长0.6个点，未来两年也将略有增长。同时，量的维度上，行业弱复苏下，公司有望通过份额扩张实现收入双位数增长。</w:t>
      </w:r>
    </w:p>
    <w:p>
      <w:r>
        <w:rPr>
          <w:rFonts w:ascii="等线(中文正文)" w:hAnsi="等线(中文正文)" w:cs="等线(中文正文)" w:eastAsia="等线(中文正文)"/>
          <w:b w:val="false"/>
          <w:i w:val="false"/>
          <w:sz w:val="20"/>
        </w:rPr>
        <w:t/>
      </w:r>
    </w:p>
    <w:p>
      <w:pPr>
        <w:pStyle w:val="ab"/>
      </w:pPr>
      <w:r>
        <w:t>近期公司基本面情况如何，股价波动的原因是什么？</w:t>
      </w:r>
    </w:p>
    <w:p>
      <w:r>
        <w:rPr>
          <w:rFonts w:ascii="等线(中文正文)" w:hAnsi="等线(中文正文)" w:cs="等线(中文正文)" w:eastAsia="等线(中文正文)"/>
          <w:b w:val="false"/>
          <w:i w:val="false"/>
          <w:sz w:val="20"/>
        </w:rPr>
        <w:t>发言人1：近期安井股价有所波动，主要是因为5月渠道调研反馈其同比增速放缓至大个位数增长，相较于4月和一季度明显放缓。这主要是由于4月经销商加大备货，5月天气转热导致动销放缓及前期库存需要消化。不过，二季度预计收入增速仍能接近20%，利润端增速更快，有望达到30%以上。短期股价下跌更多是错杀，若半年报再超预期，股价有望修复并继续上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2026-06-13T07:21:46Z</dcterms:created>
  <dc:creator>Apache POI</dc:creator>
</cp:coreProperties>
</file>