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非农结构不如总量加息预期或相对悲观 260611_导读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黄金 加息 非农 量化 央行 周期性 权益资产 铝价 AI 宏观 通胀 失业 供给 需求 PE 股息率 布局 配置 左侧酱波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宏观经济波动中，有色金属市场呈现出复杂态势。尽管金价在CPI数据公布后稍有企稳，但整体上仍处于疲软和震荡状态。分析师指出，尽管非农数据表面强劲，但就业结构可能不佳，结合通胀压力，市场对美联储加息预期转为悲观。长期来看，考虑到美国的财政和货币政策，黄金依然具备投资价值。电解铝市场方面，尽管供给预期存在担忧，但价格已回调至吸引人的水平，为长期投资者提供了机会。分析师建议投资者保持耐心，寻找左侧布局的机会，并对经济和市场的未来复苏保持乐观态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国金证券电话会议：非农结构与加息预期分析</w:t>
      </w:r>
    </w:p>
    <w:p>
      <w:r>
        <w:rPr>
          <w:rFonts w:ascii="等线(中文正文)" w:hAnsi="等线(中文正文)" w:cs="等线(中文正文)" w:eastAsia="等线(中文正文)"/>
          <w:b w:val="false"/>
          <w:i w:val="false"/>
          <w:sz w:val="20"/>
        </w:rPr>
        <w:t>国金证券召开电话会议，讨论非农数据结构对加息预期的影响，强调会议内容仅供专业投资机构交流，未经许可不得外传。</w:t>
      </w:r>
    </w:p>
    <w:p>
      <w:r>
        <w:rPr>
          <w:rFonts w:ascii="等线(中文正文)" w:hAnsi="等线(中文正文)" w:cs="等线(中文正文)" w:eastAsia="等线(中文正文)"/>
          <w:b w:val="false"/>
          <w:i w:val="false"/>
          <w:sz w:val="20"/>
        </w:rPr>
        <w:t/>
      </w:r>
    </w:p>
    <w:p>
      <w:pPr>
        <w:pStyle w:val="ab"/>
        <w:numPr>
          <w:numId w:val="2"/>
        </w:numPr>
      </w:pPr>
      <w:r>
        <w:t>00:52 宏观波动下黄金价格与加息预期分析</w:t>
      </w:r>
    </w:p>
    <w:p>
      <w:r>
        <w:rPr>
          <w:rFonts w:ascii="等线(中文正文)" w:hAnsi="等线(中文正文)" w:cs="等线(中文正文)" w:eastAsia="等线(中文正文)"/>
          <w:b w:val="false"/>
          <w:i w:val="false"/>
          <w:sz w:val="20"/>
        </w:rPr>
        <w:t>近期，金价在CPI数据公布后虽有企稳迹象，但整体仍较弱，受周期性ETF卖盘影响较大。市场对加息预期变得更为极致，但分析认为实际加息可能性较低，因联储主席倾向于采用结尾均值PCE方式评估通胀，且五月份非农数据可能经历下修，就业市场复苏并不全面，经济分化明显。</w:t>
      </w:r>
    </w:p>
    <w:p>
      <w:r>
        <w:rPr>
          <w:rFonts w:ascii="等线(中文正文)" w:hAnsi="等线(中文正文)" w:cs="等线(中文正文)" w:eastAsia="等线(中文正文)"/>
          <w:b w:val="false"/>
          <w:i w:val="false"/>
          <w:sz w:val="20"/>
        </w:rPr>
        <w:t/>
      </w:r>
    </w:p>
    <w:p>
      <w:pPr>
        <w:pStyle w:val="ab"/>
        <w:numPr>
          <w:numId w:val="3"/>
        </w:numPr>
      </w:pPr>
      <w:r>
        <w:t>04:11 AI与美国经济前景：黄金、加息与市场波动</w:t>
      </w:r>
    </w:p>
    <w:p>
      <w:r>
        <w:rPr>
          <w:rFonts w:ascii="等线(中文正文)" w:hAnsi="等线(中文正文)" w:cs="等线(中文正文)" w:eastAsia="等线(中文正文)"/>
          <w:b w:val="false"/>
          <w:i w:val="false"/>
          <w:sz w:val="20"/>
        </w:rPr>
        <w:t>讨论了AI对就业的影响，预测美国可能通过裁员和替代维持经济增长，但质疑GDP增长预期。提到中期选举期间不加息的可能性，以及美国可能从以色列问题中脱身对风险资产的积极影响。强调AI消耗自由现金流，可能限制未来金融资产新增。预测美国持续超发货币和高负债将影响黄金市场，认为除非AI显著拉动GDP，否则财政税率难以回到3%。</w:t>
      </w:r>
    </w:p>
    <w:p>
      <w:r>
        <w:rPr>
          <w:rFonts w:ascii="等线(中文正文)" w:hAnsi="等线(中文正文)" w:cs="等线(中文正文)" w:eastAsia="等线(中文正文)"/>
          <w:b w:val="false"/>
          <w:i w:val="false"/>
          <w:sz w:val="20"/>
        </w:rPr>
        <w:t/>
      </w:r>
    </w:p>
    <w:p>
      <w:pPr>
        <w:pStyle w:val="ab"/>
        <w:numPr>
          <w:numId w:val="4"/>
        </w:numPr>
      </w:pPr>
      <w:r>
        <w:t>06:33 黄金市场现状与未来展望：央行增持与权益资产重估</w:t>
      </w:r>
    </w:p>
    <w:p>
      <w:r>
        <w:rPr>
          <w:rFonts w:ascii="等线(中文正文)" w:hAnsi="等线(中文正文)" w:cs="等线(中文正文)" w:eastAsia="等线(中文正文)"/>
          <w:b w:val="false"/>
          <w:i w:val="false"/>
          <w:sz w:val="20"/>
        </w:rPr>
        <w:t>讨论了黄金市场的现状，认为当前处于左侧酱波，央行如中国正逢低增持黄金，显示出对黄金的强烈看涨态度。同时，尽管面临短期宏观逆风，权益资产，尤其是港股，已跌出极佳的价值，预计未来将有大幅重估。此外，分析了AI技术发展可能带来的社会问题及对黄金长期需求的影响，认为黄金作为储备货币的地位在货币持续超发和美国财政不可持续的背景下仍将持续。</w:t>
      </w:r>
    </w:p>
    <w:p>
      <w:r>
        <w:rPr>
          <w:rFonts w:ascii="等线(中文正文)" w:hAnsi="等线(中文正文)" w:cs="等线(中文正文)" w:eastAsia="等线(中文正文)"/>
          <w:b w:val="false"/>
          <w:i w:val="false"/>
          <w:sz w:val="20"/>
        </w:rPr>
        <w:t/>
      </w:r>
    </w:p>
    <w:p>
      <w:pPr>
        <w:pStyle w:val="ab"/>
        <w:numPr>
          <w:numId w:val="5"/>
        </w:numPr>
      </w:pPr>
      <w:r>
        <w:t>09:41 电解铝行业分析与投资建议</w:t>
      </w:r>
    </w:p>
    <w:p>
      <w:r>
        <w:rPr>
          <w:rFonts w:ascii="等线(中文正文)" w:hAnsi="等线(中文正文)" w:cs="等线(中文正文)" w:eastAsia="等线(中文正文)"/>
          <w:b w:val="false"/>
          <w:i w:val="false"/>
          <w:sz w:val="20"/>
        </w:rPr>
        <w:t>对话深入探讨了电解铝行业近期受加息影响的市场表现，指出尽管存在需求预期悲观及远期供给预期等短期压力，但行业基本面正在改善，铝价相对稳定。长期来看，随着铜价高位推动需求增长，铝的需求可能超预期。当前股价已回调至具有吸引力的水平，即使铝价回落，公司估值也已显现价值，股息率和股东回报实打实有吸引力。因此，认为当前是布局电解铝行业优质资产的长周期起点。</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讨论了金属市场的牛市情况，尤其关注了黄金和权益资产的潜在投资价值，指出尽管非农数据不佳，市场对加息的预期可能继续对黄金价格构成压力。他强调，尽管短期内市场情绪可能过于悲观，但长期来看，黄金和权益资产仍具投资吸引力。此外，他特别提到电解铝等金属，在面临供应与需求的不确定性下，股价已回调至颇具吸引力的水平，建议投资者关注这些领域的长期投资机会。整体而言，他表达了对市场短期波动的担忧，但看好其长期投资潜力，并鼓励投资者考虑左侧布局，即在市场底部区域积极寻找投资良机。</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问：黄金价格在CPI数据公布后有何表现？</w:t>
      </w:r>
    </w:p>
    <w:p>
      <w:r>
        <w:rPr>
          <w:rFonts w:ascii="等线(中文正文)" w:hAnsi="等线(中文正文)" w:cs="等线(中文正文)" w:eastAsia="等线(中文正文)"/>
          <w:b w:val="false"/>
          <w:i w:val="false"/>
          <w:sz w:val="20"/>
        </w:rPr>
        <w:t>发言人1 答：黄金价格在今天CPI数据公布后稍微企稳，但仍维持在4200元左右震荡，相比之前有所下跌。这主要是由于上周五非农数据大超预期，显示出消费疲软和就业相对一般，叠加通胀上升，导致市场对加息预期的定价越来越极致。</w:t>
      </w:r>
    </w:p>
    <w:p>
      <w:r>
        <w:rPr>
          <w:rFonts w:ascii="等线(中文正文)" w:hAnsi="等线(中文正文)" w:cs="等线(中文正文)" w:eastAsia="等线(中文正文)"/>
          <w:b w:val="false"/>
          <w:i w:val="false"/>
          <w:sz w:val="20"/>
        </w:rPr>
        <w:t/>
      </w:r>
    </w:p>
    <w:p>
      <w:pPr>
        <w:pStyle w:val="ab"/>
      </w:pPr>
      <w:r>
        <w:t>发言人1 问：当前黄金的核心问题是什么？</w:t>
      </w:r>
    </w:p>
    <w:p>
      <w:r>
        <w:rPr>
          <w:rFonts w:ascii="等线(中文正文)" w:hAnsi="等线(中文正文)" w:cs="等线(中文正文)" w:eastAsia="等线(中文正文)"/>
          <w:b w:val="false"/>
          <w:i w:val="false"/>
          <w:sz w:val="20"/>
        </w:rPr>
        <w:t>发言人1 答：黄金的核心问题在于其受到周期性ETF卖盘压力大，以及对于美联储加息预期的影响。尽管如此，我们认为讨论加息预期可能过于悲观，因为联储主席可能会倾向于采用结尾均值PCE看通胀，并且历史上的非农数据存在下修现象，结构上可能并不像表面数字那样强劲。</w:t>
      </w:r>
    </w:p>
    <w:p>
      <w:r>
        <w:rPr>
          <w:rFonts w:ascii="等线(中文正文)" w:hAnsi="等线(中文正文)" w:cs="等线(中文正文)" w:eastAsia="等线(中文正文)"/>
          <w:b w:val="false"/>
          <w:i w:val="false"/>
          <w:sz w:val="20"/>
        </w:rPr>
        <w:t/>
      </w:r>
    </w:p>
    <w:p>
      <w:pPr>
        <w:pStyle w:val="ab"/>
      </w:pPr>
      <w:r>
        <w:t>发言人1 问：对于未来就业市场和美国经济复苏的看法是怎样的？</w:t>
      </w:r>
    </w:p>
    <w:p>
      <w:r>
        <w:rPr>
          <w:rFonts w:ascii="等线(中文正文)" w:hAnsi="等线(中文正文)" w:cs="等线(中文正文)" w:eastAsia="等线(中文正文)"/>
          <w:b w:val="false"/>
          <w:i w:val="false"/>
          <w:sz w:val="20"/>
        </w:rPr>
        <w:t>发言人1 答：我们预计就业市场可能并非全面复苏，而是呈现割裂和分化的状态。世界杯热潮带来的新增就业具有周期性因素，而结构性问题如IT等中产阶级岗位下滑依然存在。中期选举期间八个月不会加息，如果就业数据如期回落，将对黄金市场有积极影响。</w:t>
      </w:r>
    </w:p>
    <w:p>
      <w:r>
        <w:rPr>
          <w:rFonts w:ascii="等线(中文正文)" w:hAnsi="等线(中文正文)" w:cs="等线(中文正文)" w:eastAsia="等线(中文正文)"/>
          <w:b w:val="false"/>
          <w:i w:val="false"/>
          <w:sz w:val="20"/>
        </w:rPr>
        <w:t/>
      </w:r>
    </w:p>
    <w:p>
      <w:pPr>
        <w:pStyle w:val="ab"/>
      </w:pPr>
      <w:r>
        <w:t>发言人1 问：AI技术发展对美国就业市场和黄金价格有何影响？</w:t>
      </w:r>
    </w:p>
    <w:p>
      <w:r>
        <w:rPr>
          <w:rFonts w:ascii="等线(中文正文)" w:hAnsi="等线(中文正文)" w:cs="等线(中文正文)" w:eastAsia="等线(中文正文)"/>
          <w:b w:val="false"/>
          <w:i w:val="false"/>
          <w:sz w:val="20"/>
        </w:rPr>
        <w:t>发言人1 答：AI技术可能会取代大量律师和金融IT岗位，带来持续的就业压力，但同时也可能导致科技公司进行裁员和替代，使美国就业市场进一步分化。对于黄金价格，若美国持续负债超发货币且AI红利未广泛分享，财政税率难以回至3%，则黄金可能仍将保持一定的保值需求。</w:t>
      </w:r>
    </w:p>
    <w:p>
      <w:r>
        <w:rPr>
          <w:rFonts w:ascii="等线(中文正文)" w:hAnsi="等线(中文正文)" w:cs="等线(中文正文)" w:eastAsia="等线(中文正文)"/>
          <w:b w:val="false"/>
          <w:i w:val="false"/>
          <w:sz w:val="20"/>
        </w:rPr>
        <w:t/>
      </w:r>
    </w:p>
    <w:p>
      <w:pPr>
        <w:pStyle w:val="ab"/>
      </w:pPr>
      <w:r>
        <w:t>发言人1 问：对于当前黄金价格走势及配置建议是什么？</w:t>
      </w:r>
    </w:p>
    <w:p>
      <w:r>
        <w:rPr>
          <w:rFonts w:ascii="等线(中文正文)" w:hAnsi="等线(中文正文)" w:cs="等线(中文正文)" w:eastAsia="等线(中文正文)"/>
          <w:b w:val="false"/>
          <w:i w:val="false"/>
          <w:sz w:val="20"/>
        </w:rPr>
        <w:t>发言人1 答：目前黄金价格处于左侧震荡阶段，流动性恐慌时可能会挑战3月份低点4000至4100元附近。当前筹码结构相对稳定，新增量化资金是主要卖盘来源，但尚未看到大规模抛盘。因此，在谨慎乐观态度下，可以考虑配置周期性资产和对冲权益资产风险。</w:t>
      </w:r>
    </w:p>
    <w:p>
      <w:r>
        <w:rPr>
          <w:rFonts w:ascii="等线(中文正文)" w:hAnsi="等线(中文正文)" w:cs="等线(中文正文)" w:eastAsia="等线(中文正文)"/>
          <w:b w:val="false"/>
          <w:i w:val="false"/>
          <w:sz w:val="20"/>
        </w:rPr>
        <w:t/>
      </w:r>
    </w:p>
    <w:p>
      <w:pPr>
        <w:pStyle w:val="ab"/>
      </w:pPr>
      <w:r>
        <w:t>发言人1 问：历史上技术变革是否总是一帆风顺，对AI的发展是否存在类似的挑战？</w:t>
      </w:r>
    </w:p>
    <w:p>
      <w:r>
        <w:rPr>
          <w:rFonts w:ascii="等线(中文正文)" w:hAnsi="等线(中文正文)" w:cs="等线(中文正文)" w:eastAsia="等线(中文正文)"/>
          <w:b w:val="false"/>
          <w:i w:val="false"/>
          <w:sz w:val="20"/>
        </w:rPr>
        <w:t>发言人1 答：历史上任何一次技术变革都不会一帆风顺，可能会导致结构性试验和贫富差距加大。目前AI发展过程中，部分大学生存在抵制和不满情绪，虽然产业趋势明显，但转化为实体经济生产力提升需要时间，并可能带来中产职业压力及失业率上升等问题。</w:t>
      </w:r>
    </w:p>
    <w:p>
      <w:r>
        <w:rPr>
          <w:rFonts w:ascii="等线(中文正文)" w:hAnsi="等线(中文正文)" w:cs="等线(中文正文)" w:eastAsia="等线(中文正文)"/>
          <w:b w:val="false"/>
          <w:i w:val="false"/>
          <w:sz w:val="20"/>
        </w:rPr>
        <w:t/>
      </w:r>
    </w:p>
    <w:p>
      <w:pPr>
        <w:pStyle w:val="ab"/>
      </w:pPr>
      <w:r>
        <w:t>发言人1 问：当前宏观环境对市场的影响如何？</w:t>
      </w:r>
    </w:p>
    <w:p>
      <w:r>
        <w:rPr>
          <w:rFonts w:ascii="等线(中文正文)" w:hAnsi="等线(中文正文)" w:cs="等线(中文正文)" w:eastAsia="等线(中文正文)"/>
          <w:b w:val="false"/>
          <w:i w:val="false"/>
          <w:sz w:val="20"/>
        </w:rPr>
        <w:t>发言人1 答：目前市场处于短期宏观逆风状态，可能会出现极致回调，但资金流出快速也意味着后期可能快速回归。目前仍处于左侧压力测试阶段。</w:t>
      </w:r>
    </w:p>
    <w:p>
      <w:r>
        <w:rPr>
          <w:rFonts w:ascii="等线(中文正文)" w:hAnsi="等线(中文正文)" w:cs="等线(中文正文)" w:eastAsia="等线(中文正文)"/>
          <w:b w:val="false"/>
          <w:i w:val="false"/>
          <w:sz w:val="20"/>
        </w:rPr>
        <w:t/>
      </w:r>
    </w:p>
    <w:p>
      <w:pPr>
        <w:pStyle w:val="ab"/>
      </w:pPr>
      <w:r>
        <w:t>发言人1 问：央行对黄金等资产的态度如何？</w:t>
      </w:r>
    </w:p>
    <w:p>
      <w:r>
        <w:rPr>
          <w:rFonts w:ascii="等线(中文正文)" w:hAnsi="等线(中文正文)" w:cs="等线(中文正文)" w:eastAsia="等线(中文正文)"/>
          <w:b w:val="false"/>
          <w:i w:val="false"/>
          <w:sz w:val="20"/>
        </w:rPr>
        <w:t>发言人1 答：以中国为例，央行正在每月环比增持黄金，增持量来到近年来较高位置，表明央行逢低买入，预示着黄金机会结构变好，权益资产在港股跌出良好价值后也值得看好。</w:t>
      </w:r>
    </w:p>
    <w:p>
      <w:r>
        <w:rPr>
          <w:rFonts w:ascii="等线(中文正文)" w:hAnsi="等线(中文正文)" w:cs="等线(中文正文)" w:eastAsia="等线(中文正文)"/>
          <w:b w:val="false"/>
          <w:i w:val="false"/>
          <w:sz w:val="20"/>
        </w:rPr>
        <w:t/>
      </w:r>
    </w:p>
    <w:p>
      <w:pPr>
        <w:pStyle w:val="ab"/>
      </w:pPr>
      <w:r>
        <w:t>发言人1 问：对于电解铝市场，近期有哪些关键因素？</w:t>
      </w:r>
    </w:p>
    <w:p>
      <w:r>
        <w:rPr>
          <w:rFonts w:ascii="等线(中文正文)" w:hAnsi="等线(中文正文)" w:cs="等线(中文正文)" w:eastAsia="等线(中文正文)"/>
          <w:b w:val="false"/>
          <w:i w:val="false"/>
          <w:sz w:val="20"/>
        </w:rPr>
        <w:t>发言人1 答：近期电解铝市场面临加息恐慌、库存低位以及对未来供给预期的影响。尽管存在一些担忧，但基本面正在改善，预期悲观且需求可能处于收尾期，同时海外供应有转为现货市场的可能性，铝价相对稳定在23000-24000左右，而一些股票估值已回归去年年初水平。</w:t>
      </w:r>
    </w:p>
    <w:p>
      <w:r>
        <w:rPr>
          <w:rFonts w:ascii="等线(中文正文)" w:hAnsi="等线(中文正文)" w:cs="等线(中文正文)" w:eastAsia="等线(中文正文)"/>
          <w:b w:val="false"/>
          <w:i w:val="false"/>
          <w:sz w:val="20"/>
        </w:rPr>
        <w:t/>
      </w:r>
    </w:p>
    <w:p>
      <w:pPr>
        <w:pStyle w:val="ab"/>
      </w:pPr>
      <w:r>
        <w:t>发言人1 问：市场对于海外供应情况的看法是否过于悲观？</w:t>
      </w:r>
    </w:p>
    <w:p>
      <w:r>
        <w:rPr>
          <w:rFonts w:ascii="等线(中文正文)" w:hAnsi="等线(中文正文)" w:cs="等线(中文正文)" w:eastAsia="等线(中文正文)"/>
          <w:b w:val="false"/>
          <w:i w:val="false"/>
          <w:sz w:val="20"/>
        </w:rPr>
        <w:t>发言人1 答：市场传闻存在一些关于海外供应可能受到扰动的情况，但实际上很多项目可能会延期，尤其是有关青山基建的产能传闻较为悲观。尽管短期内可能出现集体抛售，但长期来看，只要价格回归正常水平，铜和铝的需求将持续增长，特别是铜价高位下，铜的需求将持续推动，铝的需求也可能超预期。</w:t>
      </w:r>
    </w:p>
    <w:p>
      <w:r>
        <w:rPr>
          <w:rFonts w:ascii="等线(中文正文)" w:hAnsi="等线(中文正文)" w:cs="等线(中文正文)" w:eastAsia="等线(中文正文)"/>
          <w:b w:val="false"/>
          <w:i w:val="false"/>
          <w:sz w:val="20"/>
        </w:rPr>
        <w:t/>
      </w:r>
    </w:p>
    <w:p>
      <w:pPr>
        <w:pStyle w:val="ab"/>
      </w:pPr>
      <w:r>
        <w:t>发言人1 问：当前铝价下跌对相关企业的影响如何？</w:t>
      </w:r>
    </w:p>
    <w:p>
      <w:r>
        <w:rPr>
          <w:rFonts w:ascii="等线(中文正文)" w:hAnsi="等线(中文正文)" w:cs="等线(中文正文)" w:eastAsia="等线(中文正文)"/>
          <w:b w:val="false"/>
          <w:i w:val="false"/>
          <w:sz w:val="20"/>
        </w:rPr>
        <w:t>发言人1 答：即使铝价回落至较低水平，目前大多数铝业公司的股价已经跌出了价值，其PE和股息率表现具有吸引力，尤其是对于那些有望在健康铝价水平下维持运营的企业而言，长期投资布局的价值凸显。</w:t>
      </w:r>
    </w:p>
    <w:p>
      <w:r>
        <w:rPr>
          <w:rFonts w:ascii="等线(中文正文)" w:hAnsi="等线(中文正文)" w:cs="等线(中文正文)" w:eastAsia="等线(中文正文)"/>
          <w:b w:val="false"/>
          <w:i w:val="false"/>
          <w:sz w:val="20"/>
        </w:rPr>
        <w:t/>
      </w:r>
    </w:p>
    <w:p>
      <w:pPr>
        <w:pStyle w:val="ab"/>
      </w:pPr>
      <w:r>
        <w:t>发言人1 问：对于未来市场的展望是什么？</w:t>
      </w:r>
    </w:p>
    <w:p>
      <w:r>
        <w:rPr>
          <w:rFonts w:ascii="等线(中文正文)" w:hAnsi="等线(中文正文)" w:cs="等线(中文正文)" w:eastAsia="等线(中文正文)"/>
          <w:b w:val="false"/>
          <w:i w:val="false"/>
          <w:sz w:val="20"/>
        </w:rPr>
        <w:t>发言人1 答：认为当前市场已经对宏观不确定性和恐慌情绪进行了集中宣泄，许多热门板块可能面临机器撤出的压力，价值终将回归。因此，在当前位置看好长期布局，逐渐关注黄金和其他优质资产的投资价值。</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2026-06-13T07:21:40Z</dcterms:created>
  <dc:creator>Apache POI</dc:creator>
</cp:coreProperties>
</file>