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开源证券  拥抱AI大时代之AIGC每周谈 260610_导读</w:t>
      </w:r>
    </w:p>
    <w:p>
      <w:pPr>
        <w:pStyle w:val="a0"/>
        <w:jc w:val="center"/>
      </w:pPr>
      <w:r>
        <w:t>2026年06月10日 22:16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大模型 融资 算力 光通信 光纤光缆 国产算力 光模块 光芯片 PCB 功率半导体 英飞凌 谷歌 微软 亚马逊 AI广告 AI漫剧 AI游戏 算力租赁 玻璃基板 台积电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近期，科技与AI领域展现出显著进展与趋势。Mini Mac和质谱仪的纳入恒生科技指数，预示科技行业持续增长。AI模型如Mini MAX M3在多模态编程和agent能力方面取得重大突破，展现了AI技术的快速发展。大模型研发通过融资和算力投入，推动性能跃迁，影响着token调用量和估值。AI技术进步促进了对算力基础设施的需求，带动光芯片、光通信等领域增长，加速了AI广告、游戏、漫剧等垂直应用的商业化进程。光通信、光纤光缆及国产算力预计二季度表现亮眼。整体上，科技与AI领域正迎来技术突破和商业应用的双重机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大模型能力升级推动产业链增长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大模型能力升级对产业链的推动作用展开，提及头部厂商融资加大预训练投入，提升模型性能，带动token调用量和收入增长，形成正向循环。同时，大模型发展拉动算力基建需求，加速垂直AI应用商业化，如AI广告、AI漫剧、AI游戏等。此外，推理端需求增长也拉动算力租赁和边缘算力需求。推荐标的包括快手、腾讯、阿里巴巴等大模型厂商，以及会场科技、阅文、德泰股份等垂直AI应用领域公司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03:07 通信行业高景气板块及业绩亮点分析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聚焦于通信行业三大高景气板块：光通信、光纤光缆及国产算力，强调其二季度业绩高确定性和增长潜力。光模块、光芯片、光纤光缆企业如亨通光电、寒武纪等预计业绩亮眼。同时，建议关注液冷板块龙头英维克，预期三季度业绩拐点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06:48 通信行业分析：涨价需求、订单趋势与美股催化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通信行业中的涨价趋势和需求增长，特别是PCB/CCL及功率半导体领域的持续涨价预期。同时，分析了订单与产业趋势，包括机床中国订单的强劲增长和AI、3C链的高速扩张。此外，提到了美股对A股的催化作用，以及SOFC产业趋势和光通信板块的潜在机会，认为相关公司如新节能和三福新科有望迎来股价上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13:07 玻璃基板封装技术：后摩尔时代的关键突破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玻璃基板封装技术在后摩尔时代的重要作用，指出其有望解决芯片性能限制问题，成为AI性能提升的关键路径。分析了技术演进趋势，强调了玻璃基板在平整度、低损耗等方面的优点，并预测2026年可能成为商业化元年，产业链上下游企业正加速布局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17:59 先进封装技术与玻璃基板的应用前景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探讨了先进封装技术，如2.5D和3D封装，以及玻璃基板在CPU封装中的应用潜力。重点分析了硅中介层成本问题及玻璃基板的电热性能优势，预测玻璃基板将成为下一代封装技术的关键材料。此外，讨论了中国玻璃基板产业的高速增长预期，以及未来市场可能超过10%的复合增速，建议关注相关产业链投资机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6"/>
        </w:numPr>
      </w:pPr>
      <w:r>
        <w:t>22:41 玻璃基板产业链与国产替代机遇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探讨了玻璃基板产业链，强调了无碱和低检孔硅特种电子玻璃的重要性，以及康宁、AGC、肖特等企业在上游原材料领域的主导地位。国内企业如凯盛、利洛腰包、海克维加等正加速追赶，半导体与药用玻璃基板材料体系类似，存在打破海外垄断的可能。激光处理技术、电镀设备及玻璃原片等环节的投资机会被提及，同时指出技术产业化、行业竞争及下游需求是主要风险点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7"/>
        </w:numPr>
      </w:pPr>
      <w:r>
        <w:t>25:30 电子行业涨价与国产算力趋势分析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报告聚焦于电子行业近期的涨价趋势，特别是通胀背景下的材料与设备，以及国产算力领域的连接技术瓶颈与市场潜力。强调了电子靶材、半导体零部件等细分市场的投资价值，同时指出国产算力中的连接环节存在被低估的优质个股，如万通发展。报告建议关注美股科技股反弹机会及国外专利相关核心票，强调了科技板块未来的发展前景与投资机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8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多个领域的技术进展与预测，包括科技指数的提升、大模型能力的增强及其在广告、游戏等领域的应用，同时指出算力需求的持续增长。他强调，头部大模型厂商通过巨额融资和加大预训练及算力投入，推动了模型性能的飞跃，形成了市场估值与融资的良性循环。此外，大模型的发展促进了算力基础设施的建设，带动了对光芯片、光通信及关联元器件的需求增长。在通信领域，他看好光通信、光纤光缆及国产算力板块的高景气度，强调了需求增长与业绩确定性的重要性。在电子领域，他关注封装技术的进展，尤其是玻璃基板的应用与市场潜力，以及国产算力未来的增长机会。整体而言，他对未来的发展持乐观态度，认为技术创新与市场需求是推动行业进步的关键因素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问：Mini MAC和质谱何时纳入恒生科技指数？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答：Mini MAC和质谱将在6月12号正式纳入恒生科技指数。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问：Mini MAX在最新M3模型上的表现如何？当前AI领域的发展趋势和正循环是什么？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答：Mini MAX发布的M3模型在多模态编程和agent能力上有了大幅提升。图文混合训练方面从运行第一步开始就进行训练，编程能力超过GPT5.5和界面3.1 pro等海外代表性模型，接近Thorp C旗下Cloud Office 4.7水平。在面向自主agent的端到端评测giver上，Mini MAX拿到了最高分。头部大模型厂商通过大额融资投入到预训练，加大算力投入，带动模型性能跃迁，进而增加token调用量和IR2的增长，进一步推高估值并继续融资，形成正循环。同时，大模型带动了算力基建投入，拉动光芯片、光通信、PCB等产业链上下游需求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问：AI应用赛道中哪些领域受益于大模型能力提升？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答：大模型能力提升将加速AI广告、AI漫剧、AI游戏等核心应用赛道的商业化进程，并且推理端需求的增长也拉动了算力租赁和云边缘算力需求，加大了算力缺口。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问：通信板块中有哪些高景气板块？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通信板块中看好光通信、光纤光缆和国产算力三个高景气板块。光模块板块如中际创科，二季度预计维持高速环比和同比增速；光芯片板块如源杰科技、永鼎股份等有望实现亮眼业绩增长；光纤光缆板块在二季度转向高价值订单，增速有望大幅提高，例如亨通光电、通鼎互联、长飞光纤、中天科技等公司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问：国产算力板块的行情如何？对于有潜在拐点的板块有何建议？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国产算力板块如寒武纪（AI芯片龙头）、紫光股份、锐捷网络（交换机龙头）在二季度可能实现亮眼业绩增长。建议关注液冷板块，特别是英维克，随着二季度末至三季度液冷产品发货和确认，预计Q3将迎来业绩拐点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问：在涨价和需求方面有哪些推荐标的？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答：推荐建滔基层板，由于PCB或CCL涨价趋势延续；同时推荐英飞凌，其功率半导体在AI领域的业绩翻倍增长，带动整体利润收入增长，预计后续功率半导体有望延续涨价趋势。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问：在云计算和AI语音领域，您们近期有哪些观察和布局？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近期在云计算领域写了一份深度报告，指出AI语音模型的token调用量增速虽有放缓，但EBS的扩张速度依然很快，并且公司提价后签了更多便利协议。因此，该板块呈现出量价提升的趋势，目前NVEV相比EV的估值溢价大约只有七倍多，我们认为与谷歌、亚马逊和微软等公司相比，还有一定的增长空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问：关于订单和产业趋势方面，您有哪些具体的调研结果？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在机床中国方面，我们调研发现其五月份的在手订单同比增长100%。尽管市场担心汽车下滑会对精密零件需求产生影响，但实际上高端车市场表现良好，整体需求增长有望使汽车行业全年保持正向增长。此外，AI链和3C链也预期将保持高速增长，我们因此上调了今年的预测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问：对于光通信板块尤其是光特别CPU进展带来的担忧，您怎么看？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市场对于光特别CPU进展存在单一性担忧，导致相关板块美股出现较大调整。但我们研究认为，除了EML以外，LPO和NPU在整个过程中对CW激光器的需求也将爆发式增长，这将支撑相关公司如谷歌OCS交换机的业绩。同时，我们也看好SOFC（固体氧化物燃料电池）的产业趋势，尤其是Bloom Energy迎合了当地环保人士的需求，有望从小众市场转向大众市场的黄金时期。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问：在A股方面，您有哪些值得关注的硬生生的公司或方向？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答：在A股方面，新节能作为功率半导体环节的代表，正持续提产并扩产，其IC设计能力帮助捕捉到了显著需求，尤其在AI领域的占比快速提升。另外，三福新科的设备需求被低估，且公司在玻璃基板和MMM sap等领域有望在产业大会中获得认可，预计股价会有上涨动力。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问：最近在关注的玻璃基板方向上，您有什么新的观点和发现？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认为在后摩尔时代，新品封装将成为突破AI性能的关键路径，而玻璃基板将在2.5D封装中发挥核心作用。当前新型封装技术呈现两大演进趋势：一是从基元级向面板级升级，二是从六级材料向5G材料迭代。玻璃基板凭借其平整度和低介电损耗优势，能解决大尺寸封装中的取向问题。随着信息封装下游如芯片、GPU、CPU以及HBM的发展，玻璃基板市场有望持续增长，预计2026年将成为商业化元年，并在2028年前后进入快速成长期。台积电、陈建、英伟达和英特尔等全球龙头厂商都在加速布局玻璃基板产业化，整个产业链中，上游原片和中游TGV通孔成型与填充工艺环节尤为关键，其中上游玻璃原片市场主要由康宁等主导，而国内企业也在加速国产替代进程。因此，玻璃基板有望成为下一代芯片封装的核心技术方向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问：在芯片封装技术中，为什么先进工装成为集成芯片性能的关键，以及目前面临的主要问题是什么？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先进工装成为集成芯片性能的关键，是因为现有的新型工装技术主要依赖于2.5G和3G集成。若要在不突破支撑线的情况下实现CPU和HBM的高速互联，需要通过创新的封装形式来解决。目前，台积电主要使用的是2.5D芯片封装技术，但面临硅中介层成本高、面积使用效率低和可能产生的翘曲问题等瓶颈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问：玻璃基板为何可能成为下一代封装材料的核心方向？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玻璃基板可能成为下一代封装材料的核心方向，是因为其与传统有机基板相比，在电性能、热性能和稳定性方面具有显著优势，并且能够缓解硅中介层带来的成本劣势。英特尔计划在2030年前实现玻璃基板的大规模量产导入，这将推动玻璃基板产业的发展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问：玻璃基板在哪些下游场景中有较大应用前景？对于玻璃基板产业投资机会的看法以及潜在风险有哪些？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玻璃基板在三大场景中有较大应用前景：一是硅光CPU的封装，预计会重点使用玻璃基板；二是随着新封装技术渗透率提升，将带动玻璃基板产业的增长；三是中国新建工装市场的高速增长，根据第三方数据，市场规模将从2024年的456亿美元增长到2030年的800至1800亿美元。玻璃基板产业有望迎来0到1的量产化突破，随着市场需求增长，产业链各环节都存在投资机会。潜在风险包括技术产业化落地不及预期、行业竞争加剧（如康宁具有深厚的技术壁垒和与英特尔的紧密绑定）、以及下游需求波动的影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问：玻璃基板产业链中的关键环节和原材料有哪些？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玻璃基板产业链的关键环节包括原片采购、减薄、泡默处理、激光改性、打孔以及PPT建设等。核心上游原材料是无碱和低膨胀系数的特种电子玻璃，目前主要由康宁AGC和肖特等公司生产，国内有凯盛科技、利诺尔等企业正在加速研发和生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2026-06-10T14:20:14Z</dcterms:created>
  <dc:creator>Apache POI</dc:creator>
</cp:coreProperties>
</file>