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国金金融工程 _ 量化月视点 260609_导读</w:t>
      </w:r>
    </w:p>
    <w:p>
      <w:pPr>
        <w:pStyle w:val="a0"/>
        <w:jc w:val="center"/>
      </w:pPr>
      <w:r>
        <w:t>2026年06月09日 22:11</w:t>
      </w:r>
    </w:p>
    <w:p>
      <w:pPr>
        <w:pStyle w:val="a7"/>
      </w:pPr>
      <w:r>
        <w:t>关键词</w:t>
      </w:r>
    </w:p>
    <w:p>
      <w:r>
        <w:rPr>
          <w:rFonts w:ascii="等线(中文正文)" w:hAnsi="等线(中文正文)" w:cs="等线(中文正文)" w:eastAsia="等线(中文正文)"/>
          <w:b w:val="false"/>
          <w:i w:val="false"/>
          <w:sz w:val="20"/>
        </w:rPr>
        <w:t xml:space="preserve">资产配置 行业配置 选股 选基 经济增长 货币流动性 工业增加值 利润总额 进出口金额 PPI 利率曲线 国债指数 纳斯达克 红利板块 盈利质量 估值动量 分析师预期 调研活动 超预期 多空收益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金证券金融工程团队分享了量化月度投资观点，涵盖资产配置、行业配置、选股和基金选择。他们分析了经济增长和利润改善，同时指出进出口及部分行业指数的波动，据此提出六月全球大类资产配置策略和国内股债配置模型。在行业配置策略中，利用因子分析衡量盈利质量和估值动量，推荐六月重点行业。选股方面，讨论了国证2000指数增强策略及其它量化因子选股方法，分析了历史表现和超额收益。此外，还评估了主动权益型基金和ETF市场，特别关注TMT主题基金及量化选基策略。团队强调投资观点基于市场分析和量化模型，但不构成具体投资建议，提醒合规和法律风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国金证券量化月试点会议：资产配置策略分析</w:t>
      </w:r>
    </w:p>
    <w:p>
      <w:r>
        <w:rPr>
          <w:rFonts w:ascii="等线(中文正文)" w:hAnsi="等线(中文正文)" w:cs="等线(中文正文)" w:eastAsia="等线(中文正文)"/>
          <w:b w:val="false"/>
          <w:i w:val="false"/>
          <w:sz w:val="20"/>
        </w:rPr>
        <w:t>会议汇报了国金证券金融工程团队关于资产配置的观点，分析了过去一个月的经济增长、工业增加值、利润总额、进出口、PPI及社融增速等经济指标的变化。模型建议六月全球大类资产配置中，国债指数占61.49%，艾希布伦14.08%，纳斯达克15.66%，日均255指数3.43%。</w:t>
      </w:r>
    </w:p>
    <w:p>
      <w:r>
        <w:rPr>
          <w:rFonts w:ascii="等线(中文正文)" w:hAnsi="等线(中文正文)" w:cs="等线(中文正文)" w:eastAsia="等线(中文正文)"/>
          <w:b w:val="false"/>
          <w:i w:val="false"/>
          <w:sz w:val="20"/>
        </w:rPr>
        <w:t/>
      </w:r>
    </w:p>
    <w:p>
      <w:pPr>
        <w:pStyle w:val="ab"/>
        <w:numPr>
          <w:numId w:val="2"/>
        </w:numPr>
      </w:pPr>
      <w:r>
        <w:t>03:51 股债配置与红利板块策略分析</w:t>
      </w:r>
    </w:p>
    <w:p>
      <w:r>
        <w:rPr>
          <w:rFonts w:ascii="等线(中文正文)" w:hAnsi="等线(中文正文)" w:cs="等线(中文正文)" w:eastAsia="等线(中文正文)"/>
          <w:b w:val="false"/>
          <w:i w:val="false"/>
          <w:sz w:val="20"/>
        </w:rPr>
        <w:t>对话主要讨论了五月股债配置策略表现，包括进取型、稳健型和保守型策略的股票仓位权重，以及宏观信号对策略的影响。同时，分析了红利板块的推荐仓位和信用构成，强调其信号强度，建议关注红利资产的投资者继续跟踪相关模型。</w:t>
      </w:r>
    </w:p>
    <w:p>
      <w:r>
        <w:rPr>
          <w:rFonts w:ascii="等线(中文正文)" w:hAnsi="等线(中文正文)" w:cs="等线(中文正文)" w:eastAsia="等线(中文正文)"/>
          <w:b w:val="false"/>
          <w:i w:val="false"/>
          <w:sz w:val="20"/>
        </w:rPr>
        <w:t/>
      </w:r>
    </w:p>
    <w:p>
      <w:pPr>
        <w:pStyle w:val="ab"/>
        <w:numPr>
          <w:numId w:val="3"/>
        </w:numPr>
      </w:pPr>
      <w:r>
        <w:t>05:53 行业配置策略与六月行业推荐</w:t>
      </w:r>
    </w:p>
    <w:p>
      <w:r>
        <w:rPr>
          <w:rFonts w:ascii="等线(中文正文)" w:hAnsi="等线(中文正文)" w:cs="等线(中文正文)" w:eastAsia="等线(中文正文)"/>
          <w:b w:val="false"/>
          <w:i w:val="false"/>
          <w:sz w:val="20"/>
        </w:rPr>
        <w:t>分享了基于盈利质量、估值动量、分析师预期等因子的行业配置策略，五月因子表现良好，六月推荐基础化工、房地产等行业，电子和石油石化受双策略推荐。</w:t>
      </w:r>
    </w:p>
    <w:p>
      <w:r>
        <w:rPr>
          <w:rFonts w:ascii="等线(中文正文)" w:hAnsi="等线(中文正文)" w:cs="等线(中文正文)" w:eastAsia="等线(中文正文)"/>
          <w:b w:val="false"/>
          <w:i w:val="false"/>
          <w:sz w:val="20"/>
        </w:rPr>
        <w:t/>
      </w:r>
    </w:p>
    <w:p>
      <w:pPr>
        <w:pStyle w:val="ab"/>
        <w:numPr>
          <w:numId w:val="4"/>
        </w:numPr>
      </w:pPr>
      <w:r>
        <w:t>10:46 投资策略五月份表现与分析</w:t>
      </w:r>
    </w:p>
    <w:p>
      <w:r>
        <w:rPr>
          <w:rFonts w:ascii="等线(中文正文)" w:hAnsi="等线(中文正文)" w:cs="等线(中文正文)" w:eastAsia="等线(中文正文)"/>
          <w:b w:val="false"/>
          <w:i w:val="false"/>
          <w:sz w:val="20"/>
        </w:rPr>
        <w:t>对话围绕多种投资策略在五月份的表现展开，包括国证2000指数增强策略、多目标多模型指增策略、中证500及中证一千策略，以及红利风格择时加红利股优选策略。国证2000策略超额收益下滑，多目标模型策略在沪深300上表现稳定，中证500策略今年表现突出，而小盘策略近期超额表现平淡。红利风格策略年化收益良好，基于宏观指标给出看多信号，预计六月仓位调整。</w:t>
      </w:r>
    </w:p>
    <w:p>
      <w:r>
        <w:rPr>
          <w:rFonts w:ascii="等线(中文正文)" w:hAnsi="等线(中文正文)" w:cs="等线(中文正文)" w:eastAsia="等线(中文正文)"/>
          <w:b w:val="false"/>
          <w:i w:val="false"/>
          <w:sz w:val="20"/>
        </w:rPr>
        <w:t/>
      </w:r>
    </w:p>
    <w:p>
      <w:pPr>
        <w:pStyle w:val="ab"/>
        <w:numPr>
          <w:numId w:val="5"/>
        </w:numPr>
      </w:pPr>
      <w:r>
        <w:t>13:37 基金市场表现与策略回顾</w:t>
      </w:r>
    </w:p>
    <w:p>
      <w:r>
        <w:rPr>
          <w:rFonts w:ascii="等线(中文正文)" w:hAnsi="等线(中文正文)" w:cs="等线(中文正文)" w:eastAsia="等线(中文正文)"/>
          <w:b w:val="false"/>
          <w:i w:val="false"/>
          <w:sz w:val="20"/>
        </w:rPr>
        <w:t>回顾了五月份主动权益型基金和ETF市场的表现，ETF出现大幅净流出，而主动权益型基金表现较好，尤其是TMT主题基金。介绍了两种主动型权益基金的量化选基策略和ETF轮动策略，这些策略在近期和长期均取得了显著的超额收益率。最后，提及了一个行业主题ETF稳定策略，该策略在五月份和长期均表现优异，超额收益率显著。</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他，即国金证券金融工程团队的徐坤胜研究员，在主持的电话会议中，强调会议内容仅供交流研究观点，不构成投资建议。会议主要聚焦于资产配置、行业配置、选股和选基策略，并基于过去一个月的市场数据（如经济增长、利润变化、进出口金额、PPI、社融增速等）提出资产配置建议。同时，徐坤胜研究员讨论了不同行业的配置思路、选股策略及基金推荐，展示了量化研究在投资决策中的实际应用。会议还特别提醒参会者需遵守信息披露规定，以维护市场公正与秩序。整体而言，此次会议旨在为投资者提供深入的量化研究分析与策略指导。</w:t>
      </w:r>
    </w:p>
    <w:p>
      <w:r>
        <w:rPr>
          <w:rFonts w:ascii="等线(中文正文)" w:hAnsi="等线(中文正文)" w:cs="等线(中文正文)" w:eastAsia="等线(中文正文)"/>
          <w:b w:val="false"/>
          <w:i w:val="false"/>
          <w:sz w:val="20"/>
        </w:rPr>
        <w:t/>
      </w:r>
    </w:p>
    <w:p>
      <w:pPr>
        <w:pStyle w:val="a7"/>
      </w:pPr>
      <w:r>
        <w:t>要点回顾</w:t>
      </w:r>
    </w:p>
    <w:p>
      <w:pPr>
        <w:pStyle w:val="ab"/>
      </w:pPr>
      <w:r>
        <w:t>在资产配置方面，国金证券金融工程团队对于6月份全球大类资产配置的建议是什么？国金证券金融工程团队在5月份资产配置策略的表现如何？</w:t>
      </w:r>
    </w:p>
    <w:p>
      <w:r>
        <w:rPr>
          <w:rFonts w:ascii="等线(中文正文)" w:hAnsi="等线(中文正文)" w:cs="等线(中文正文)" w:eastAsia="等线(中文正文)"/>
          <w:b w:val="false"/>
          <w:i w:val="false"/>
          <w:sz w:val="20"/>
        </w:rPr>
        <w:t>发言人1：在6月份的全球大类资产配置策略建议中，国债指数权重为61.49%，艾希布伦有14.08%，纳斯达克权重为15.66%，日经255指数权重为3.43%。相较于上个月，纳斯达克和日经255的权重有所下降，而国债指数和德国指数的权重则有所上升。五月份的策略表现较为稳健，进取型、稳健型和保守型股票仓的月涨幅分别是0.55%、0.53%和0.52%，均跑赢了基准策略的月涨幅0.1个百分点。同时，红利板块模型推荐的仓位为100%。</w:t>
      </w:r>
    </w:p>
    <w:p>
      <w:r>
        <w:rPr>
          <w:rFonts w:ascii="等线(中文正文)" w:hAnsi="等线(中文正文)" w:cs="等线(中文正文)" w:eastAsia="等线(中文正文)"/>
          <w:b w:val="false"/>
          <w:i w:val="false"/>
          <w:sz w:val="20"/>
        </w:rPr>
        <w:t/>
      </w:r>
    </w:p>
    <w:p>
      <w:pPr>
        <w:pStyle w:val="ab"/>
      </w:pPr>
      <w:r>
        <w:t>国金证券金融工程团队如何进行行业配置，并分享了哪些行业配置策略的观点？</w:t>
      </w:r>
    </w:p>
    <w:p>
      <w:r>
        <w:rPr>
          <w:rFonts w:ascii="等线(中文正文)" w:hAnsi="等线(中文正文)" w:cs="等线(中文正文)" w:eastAsia="等线(中文正文)"/>
          <w:b w:val="false"/>
          <w:i w:val="false"/>
          <w:sz w:val="20"/>
        </w:rPr>
        <w:t>发言人1：团队通过构造因子衡量行业盈利质量、估值动量和分析师预期等多个维度，并根据调研活动数据构建相关因子。在行业配置上，团队提出了基于盈利质量和估值动量的行业景气度估值轮动策略，以及结合预期和超预期因素增强的行业轮动策略。在5月份，前者给出负0.7%的收益率，后者则实现了4.54%的超额收益。6月份，景气度估值轮动策略推荐基础化工、房地产、通信电子和有色金属行业，而超预期增强行业轮动策略推荐有色金属、电子、基础化工、通信和石油石化行业，相比上月调出了机械行业，调入了石油石化行业。</w:t>
      </w:r>
    </w:p>
    <w:p>
      <w:r>
        <w:rPr>
          <w:rFonts w:ascii="等线(中文正文)" w:hAnsi="等线(中文正文)" w:cs="等线(中文正文)" w:eastAsia="等线(中文正文)"/>
          <w:b w:val="false"/>
          <w:i w:val="false"/>
          <w:sz w:val="20"/>
        </w:rPr>
        <w:t/>
      </w:r>
    </w:p>
    <w:p>
      <w:pPr>
        <w:pStyle w:val="ab"/>
      </w:pPr>
      <w:r>
        <w:t>从信用构成角度看，团队给出了怎样的增长和货币流动性信号？</w:t>
      </w:r>
    </w:p>
    <w:p>
      <w:r>
        <w:rPr>
          <w:rFonts w:ascii="等线(中文正文)" w:hAnsi="等线(中文正文)" w:cs="等线(中文正文)" w:eastAsia="等线(中文正文)"/>
          <w:b w:val="false"/>
          <w:i w:val="false"/>
          <w:sz w:val="20"/>
        </w:rPr>
        <w:t>发言人1：从信用构成看，多数指标在经济增长和货币流动性维度上发出积极信号，综合起来使得模型给出进取型股票100%的配置信号。</w:t>
      </w:r>
    </w:p>
    <w:p>
      <w:r>
        <w:rPr>
          <w:rFonts w:ascii="等线(中文正文)" w:hAnsi="等线(中文正文)" w:cs="等线(中文正文)" w:eastAsia="等线(中文正文)"/>
          <w:b w:val="false"/>
          <w:i w:val="false"/>
          <w:sz w:val="20"/>
        </w:rPr>
        <w:t/>
      </w:r>
    </w:p>
    <w:p>
      <w:pPr>
        <w:pStyle w:val="ab"/>
      </w:pPr>
      <w:r>
        <w:t>本期推荐的行业中，哪些行业的盈利估值动量和分析师预期得分最高？</w:t>
      </w:r>
    </w:p>
    <w:p>
      <w:r>
        <w:rPr>
          <w:rFonts w:ascii="等线(中文正文)" w:hAnsi="等线(中文正文)" w:cs="等线(中文正文)" w:eastAsia="等线(中文正文)"/>
          <w:b w:val="false"/>
          <w:i w:val="false"/>
          <w:sz w:val="20"/>
        </w:rPr>
        <w:t>发言人1：本期推荐的行业中，有色金属行业的盈利估值动量和分析师预期得分均维持最高等级，目前在所有行业中得分排名第一。电子行业的估值总量和分析师预期因子得分也排在第一组，其余因子得分较高，总得分排名第二。基础化工行业的超期因子得分有明显上升，石油石化行业的超期因子得分提升，总排名进入第五名。</w:t>
      </w:r>
    </w:p>
    <w:p>
      <w:r>
        <w:rPr>
          <w:rFonts w:ascii="等线(中文正文)" w:hAnsi="等线(中文正文)" w:cs="等线(中文正文)" w:eastAsia="等线(中文正文)"/>
          <w:b w:val="false"/>
          <w:i w:val="false"/>
          <w:sz w:val="20"/>
        </w:rPr>
        <w:t/>
      </w:r>
    </w:p>
    <w:p>
      <w:pPr>
        <w:pStyle w:val="ab"/>
      </w:pPr>
      <w:r>
        <w:t>调研活动竞选策略中，六月份推荐的行业有哪些？</w:t>
      </w:r>
    </w:p>
    <w:p>
      <w:r>
        <w:rPr>
          <w:rFonts w:ascii="等线(中文正文)" w:hAnsi="等线(中文正文)" w:cs="等线(中文正文)" w:eastAsia="等线(中文正文)"/>
          <w:b w:val="false"/>
          <w:i w:val="false"/>
          <w:sz w:val="20"/>
        </w:rPr>
        <w:t>发言人1：六月份调研活动竞选策略推荐的行业是石油石化、银行、机械电子和房地产行业。这一推荐是基于机构调研数据，从行业层面的调研活动热度和广度两个视角判断机构投资者对行业关注度的动向，找出高热度且低拥挤度的行业。</w:t>
      </w:r>
    </w:p>
    <w:p>
      <w:r>
        <w:rPr>
          <w:rFonts w:ascii="等线(中文正文)" w:hAnsi="等线(中文正文)" w:cs="等线(中文正文)" w:eastAsia="等线(中文正文)"/>
          <w:b w:val="false"/>
          <w:i w:val="false"/>
          <w:sz w:val="20"/>
        </w:rPr>
        <w:t/>
      </w:r>
    </w:p>
    <w:p>
      <w:pPr>
        <w:pStyle w:val="ab"/>
      </w:pPr>
      <w:r>
        <w:t>在所有策略中，哪些行业的选股策略表现较好且受到共同推荐？</w:t>
      </w:r>
    </w:p>
    <w:p>
      <w:r>
        <w:rPr>
          <w:rFonts w:ascii="等线(中文正文)" w:hAnsi="等线(中文正文)" w:cs="等线(中文正文)" w:eastAsia="等线(中文正文)"/>
          <w:b w:val="false"/>
          <w:i w:val="false"/>
          <w:sz w:val="20"/>
        </w:rPr>
        <w:t>发言人1：电子和石油石化行业不仅得到了超预期增强行政策略的推荐，还得到了调研活动精选策略的共同推荐，因此相对来说更加值得关注。</w:t>
      </w:r>
    </w:p>
    <w:p>
      <w:r>
        <w:rPr>
          <w:rFonts w:ascii="等线(中文正文)" w:hAnsi="等线(中文正文)" w:cs="等线(中文正文)" w:eastAsia="等线(中文正文)"/>
          <w:b w:val="false"/>
          <w:i w:val="false"/>
          <w:sz w:val="20"/>
        </w:rPr>
        <w:t/>
      </w:r>
    </w:p>
    <w:p>
      <w:pPr>
        <w:pStyle w:val="ab"/>
      </w:pPr>
      <w:r>
        <w:t>国证2000指数增强策略五月份的表现如何？</w:t>
      </w:r>
    </w:p>
    <w:p>
      <w:r>
        <w:rPr>
          <w:rFonts w:ascii="等线(中文正文)" w:hAnsi="等线(中文正文)" w:cs="等线(中文正文)" w:eastAsia="等线(中文正文)"/>
          <w:b w:val="false"/>
          <w:i w:val="false"/>
          <w:sz w:val="20"/>
        </w:rPr>
        <w:t>发言人1：国证2000指数增强策略五月份的E加IC值达到12.24%，T值12.54，整体上表现出良好的预测效果。虽然IC值有所下降，但因子表现稳健，相较于基准有明显优势。</w:t>
      </w:r>
    </w:p>
    <w:p>
      <w:r>
        <w:rPr>
          <w:rFonts w:ascii="等线(中文正文)" w:hAnsi="等线(中文正文)" w:cs="等线(中文正文)" w:eastAsia="等线(中文正文)"/>
          <w:b w:val="false"/>
          <w:i w:val="false"/>
          <w:sz w:val="20"/>
        </w:rPr>
        <w:t/>
      </w:r>
    </w:p>
    <w:p>
      <w:pPr>
        <w:pStyle w:val="ab"/>
      </w:pPr>
      <w:r>
        <w:t>红利风格择时加上红利股优选的固收加策略表现如何？</w:t>
      </w:r>
    </w:p>
    <w:p>
      <w:r>
        <w:rPr>
          <w:rFonts w:ascii="等线(中文正文)" w:hAnsi="等线(中文正文)" w:cs="等线(中文正文)" w:eastAsia="等线(中文正文)"/>
          <w:b w:val="false"/>
          <w:i w:val="false"/>
          <w:sz w:val="20"/>
        </w:rPr>
        <w:t>发言人1：该策略选股方面获得2.08%的收益，红利指数方面使用经济增长和货币流动性等十个指标构建动态事件因子体系，并结合择时策略后，整体固收加策略年化收益为6.97%，净营业超额为0.82%。</w:t>
      </w:r>
    </w:p>
    <w:p>
      <w:r>
        <w:rPr>
          <w:rFonts w:ascii="等线(中文正文)" w:hAnsi="等线(中文正文)" w:cs="等线(中文正文)" w:eastAsia="等线(中文正文)"/>
          <w:b w:val="false"/>
          <w:i w:val="false"/>
          <w:sz w:val="20"/>
        </w:rPr>
        <w:t/>
      </w:r>
    </w:p>
    <w:p>
      <w:pPr>
        <w:pStyle w:val="ab"/>
      </w:pPr>
      <w:r>
        <w:t>五月份主动权益型基金和ETF市场的表现情况如何？</w:t>
      </w:r>
    </w:p>
    <w:p>
      <w:r>
        <w:rPr>
          <w:rFonts w:ascii="等线(中文正文)" w:hAnsi="等线(中文正文)" w:cs="等线(中文正文)" w:eastAsia="等线(中文正文)"/>
          <w:b w:val="false"/>
          <w:i w:val="false"/>
          <w:sz w:val="20"/>
        </w:rPr>
        <w:t>发言人1：五月份，ETF市场整体出现大幅净流出状态，而主动权益型基金中，TMT主题基金表现较好，部分基金收益率超过30%。在主动权益基金选择策略中，基于教育动机因子和股票交叉收益因子的策略以及基于基金经理施工网络挖掘经营独特性的策略均取得亮眼业绩。同时，跟踪的行业主题ETF稳定策略也获得了6.47%的超额收益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2026-06-09T14:15:49Z</dcterms:created>
  <dc:creator>Apache POI</dc:creator>
</cp:coreProperties>
</file>