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K型分化延续关注低估值板块龙头企业 260607_导读</w:t>
      </w:r>
    </w:p>
    <w:p>
      <w:pPr>
        <w:pStyle w:val="a0"/>
        <w:jc w:val="center"/>
      </w:pPr>
      <w:r>
        <w:t>2026年06月08日 21:49</w:t>
      </w:r>
    </w:p>
    <w:p>
      <w:pPr>
        <w:pStyle w:val="a7"/>
      </w:pPr>
      <w:r>
        <w:t>关键词</w:t>
      </w:r>
    </w:p>
    <w:p>
      <w:r>
        <w:rPr>
          <w:rFonts w:ascii="等线(中文正文)" w:hAnsi="等线(中文正文)" w:cs="等线(中文正文)" w:eastAsia="等线(中文正文)"/>
          <w:b w:val="false"/>
          <w:i w:val="false"/>
          <w:sz w:val="20"/>
        </w:rPr>
        <w:t xml:space="preserve">低估值 消费龙头 K型分化 高切低 服务板 端午节 燃油附加费 出行板块 酒店 免税 景区 百盛 小商品 安克 小商品城 黄金珠宝 老铺黄金 潮鸿基 品牌价值 设计溢价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专家们讨论了当前市场上的K型分化现象，强调在市场波动中关注低估值板块龙头企业的重要性。近期市场波动正常，焦点在于消费板块，特别是服务行业如酒店、免税、景区等，燃油价格调整后展现出恢复迹象。对于黄金珠宝行业，虽然金价波动，但优质品牌价值凸显，预计随着金价稳定，将迎来业绩恢复。专家还讨论了跨境电商、黄金珠宝、餐饮、酒店和免税等领域的趋势和投资机会，强调合规化和标准化趋势对龙头企业有利。最后，对即将到来的暑期旅游旺季持乐观态度，建议关注特定公司和板块的估值修复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市场K型分化延续，低估值消费龙头受关注</w:t>
      </w:r>
    </w:p>
    <w:p>
      <w:r>
        <w:rPr>
          <w:rFonts w:ascii="等线(中文正文)" w:hAnsi="等线(中文正文)" w:cs="等线(中文正文)" w:eastAsia="等线(中文正文)"/>
          <w:b w:val="false"/>
          <w:i w:val="false"/>
          <w:sz w:val="20"/>
        </w:rPr>
        <w:t>市场呈现K型分化趋势，低估值消费龙头成为关注焦点。尽管近期科技板块波动较大，但公募基金等机构已提前降仓，风格向低估值板块切换。消费板块基本面改善，尤其是服务行业如酒店、免税、景区等，随着燃油附加费下调，出行热情回暖，预期暑期需求将有所恢复。此外，黄金市场在央行增持背景下，金价趋稳，看好Q2金市业绩恢复。建议关注红利标的及二季度业绩改善的标的，如百盛、小商品等，其股息率表现良好。</w:t>
      </w:r>
    </w:p>
    <w:p>
      <w:r>
        <w:rPr>
          <w:rFonts w:ascii="等线(中文正文)" w:hAnsi="等线(中文正文)" w:cs="等线(中文正文)" w:eastAsia="等线(中文正文)"/>
          <w:b w:val="false"/>
          <w:i w:val="false"/>
          <w:sz w:val="20"/>
        </w:rPr>
        <w:t/>
      </w:r>
    </w:p>
    <w:p>
      <w:pPr>
        <w:pStyle w:val="ab"/>
        <w:numPr>
          <w:numId w:val="2"/>
        </w:numPr>
      </w:pPr>
      <w:r>
        <w:t>05:13 大区观点：跨银板块与黄金珠宝回调分析</w:t>
      </w:r>
    </w:p>
    <w:p>
      <w:r>
        <w:rPr>
          <w:rFonts w:ascii="等线(中文正文)" w:hAnsi="等线(中文正文)" w:cs="等线(中文正文)" w:eastAsia="等线(中文正文)"/>
          <w:b w:val="false"/>
          <w:i w:val="false"/>
          <w:sz w:val="20"/>
        </w:rPr>
        <w:t>讨论了跨银板块与黄金珠宝近期回调的原因，认为主要是情绪影响而非基本面变化。特别指出安克在储能业务上的长期逻辑未变，且估值空间改善，推荐关注。同时，持续看好电商板块如舟科技、赛维时代，及小商品城在政策催化下的价值凸显，认为回调后配置价值更佳。</w:t>
      </w:r>
    </w:p>
    <w:p>
      <w:r>
        <w:rPr>
          <w:rFonts w:ascii="等线(中文正文)" w:hAnsi="等线(中文正文)" w:cs="等线(中文正文)" w:eastAsia="等线(中文正文)"/>
          <w:b w:val="false"/>
          <w:i w:val="false"/>
          <w:sz w:val="20"/>
        </w:rPr>
        <w:t/>
      </w:r>
    </w:p>
    <w:p>
      <w:pPr>
        <w:pStyle w:val="ab"/>
        <w:numPr>
          <w:numId w:val="3"/>
        </w:numPr>
      </w:pPr>
      <w:r>
        <w:t>08:22 金价波动下的珠宝行业分化与投资机会</w:t>
      </w:r>
    </w:p>
    <w:p>
      <w:r>
        <w:rPr>
          <w:rFonts w:ascii="等线(中文正文)" w:hAnsi="等线(中文正文)" w:cs="等线(中文正文)" w:eastAsia="等线(中文正文)"/>
          <w:b w:val="false"/>
          <w:i w:val="false"/>
          <w:sz w:val="20"/>
        </w:rPr>
        <w:t>近期金价调整导致珠宝行业消费属性更偏极端，行业分化加剧。设计与品牌价值突出的龙头珠宝品牌及老字号渠道有望受益。老铺黄金与潮宏基等品牌终端回暖明显，毛利率提升，全年业绩修复确定性强。当前估值低估，金价波动验证业绩后有望切换至更高PE估值，存在估值修复机会。</w:t>
      </w:r>
    </w:p>
    <w:p>
      <w:r>
        <w:rPr>
          <w:rFonts w:ascii="等线(中文正文)" w:hAnsi="等线(中文正文)" w:cs="等线(中文正文)" w:eastAsia="等线(中文正文)"/>
          <w:b w:val="false"/>
          <w:i w:val="false"/>
          <w:sz w:val="20"/>
        </w:rPr>
        <w:t/>
      </w:r>
    </w:p>
    <w:p>
      <w:pPr>
        <w:pStyle w:val="ab"/>
        <w:numPr>
          <w:numId w:val="4"/>
        </w:numPr>
      </w:pPr>
      <w:r>
        <w:t>11:49 市场资金流动与旅游行业复苏趋势分析</w:t>
      </w:r>
    </w:p>
    <w:p>
      <w:r>
        <w:rPr>
          <w:rFonts w:ascii="等线(中文正文)" w:hAnsi="等线(中文正文)" w:cs="等线(中文正文)" w:eastAsia="等线(中文正文)"/>
          <w:b w:val="false"/>
          <w:i w:val="false"/>
          <w:sz w:val="20"/>
        </w:rPr>
        <w:t>对话讨论了市场资金流动对餐饮、酒店及旅游行业的影响，指出头部餐饮企业与奢华酒店盈利能力强，虽部分行业承压，但整体旅游行业在合规化和安全性的提升下，市场观点趋向乐观，预期旅游及出境游需求将增长。</w:t>
      </w:r>
    </w:p>
    <w:p>
      <w:r>
        <w:rPr>
          <w:rFonts w:ascii="等线(中文正文)" w:hAnsi="等线(中文正文)" w:cs="等线(中文正文)" w:eastAsia="等线(中文正文)"/>
          <w:b w:val="false"/>
          <w:i w:val="false"/>
          <w:sz w:val="20"/>
        </w:rPr>
        <w:t/>
      </w:r>
    </w:p>
    <w:p>
      <w:pPr>
        <w:pStyle w:val="ab"/>
        <w:numPr>
          <w:numId w:val="5"/>
        </w:numPr>
      </w:pPr>
      <w:r>
        <w:t>13:59 餐饮行业复苏与合规监管趋势分析</w:t>
      </w:r>
    </w:p>
    <w:p>
      <w:r>
        <w:rPr>
          <w:rFonts w:ascii="等线(中文正文)" w:hAnsi="等线(中文正文)" w:cs="等线(中文正文)" w:eastAsia="等线(中文正文)"/>
          <w:b w:val="false"/>
          <w:i w:val="false"/>
          <w:sz w:val="20"/>
        </w:rPr>
        <w:t>近期餐饮行业呈现分化复苏态势，奢华餐饮消费蓬勃向上，性价比餐饮持续发展。尽管受地缘政治等因素影响，整体大盘承压，但行业恢复趋势明显。政策层面，强合规监管升级，包括外卖与食品安全监管加强，商家资质审查严格，违规成本提升，推动供应链和商家标准化升级。行业趋势显示，餐饮服务行业量升价升，严监管下龙头企业市场份额有望提升，行业整体向良性发展。</w:t>
      </w:r>
    </w:p>
    <w:p>
      <w:r>
        <w:rPr>
          <w:rFonts w:ascii="等线(中文正文)" w:hAnsi="等线(中文正文)" w:cs="等线(中文正文)" w:eastAsia="等线(中文正文)"/>
          <w:b w:val="false"/>
          <w:i w:val="false"/>
          <w:sz w:val="20"/>
        </w:rPr>
        <w:t/>
      </w:r>
    </w:p>
    <w:p>
      <w:pPr>
        <w:pStyle w:val="ab"/>
        <w:numPr>
          <w:numId w:val="6"/>
        </w:numPr>
      </w:pPr>
      <w:r>
        <w:t>16:38 头部餐饮企业受益于行业标准化与健康化趋势</w:t>
      </w:r>
    </w:p>
    <w:p>
      <w:r>
        <w:rPr>
          <w:rFonts w:ascii="等线(中文正文)" w:hAnsi="等线(中文正文)" w:cs="等线(中文正文)" w:eastAsia="等线(中文正文)"/>
          <w:b w:val="false"/>
          <w:i w:val="false"/>
          <w:sz w:val="20"/>
        </w:rPr>
        <w:t>对话讨论了头部餐饮企业如何受益于行业标准化、健康化趋势，以及供应链管理的优化。以百盛中国、海底捞、小菜园为例，分析了它们在供应链整合、门店标准化、健康化要求等方面的策略。同时，提到了蜜雪冰城在海外市场的快速扩张，以及本土化产品改良带来的竞争优势。整体来看，头部餐饮企业凭借高效的人力资源管理和供应链布局，在行业趋势下更具竞争力。</w:t>
      </w:r>
    </w:p>
    <w:p>
      <w:r>
        <w:rPr>
          <w:rFonts w:ascii="等线(中文正文)" w:hAnsi="等线(中文正文)" w:cs="等线(中文正文)" w:eastAsia="等线(中文正文)"/>
          <w:b w:val="false"/>
          <w:i w:val="false"/>
          <w:sz w:val="20"/>
        </w:rPr>
        <w:t/>
      </w:r>
    </w:p>
    <w:p>
      <w:pPr>
        <w:pStyle w:val="ab"/>
        <w:numPr>
          <w:numId w:val="7"/>
        </w:numPr>
      </w:pPr>
      <w:r>
        <w:t>21:23 墨西哥市场成拉美增长引擎，酒店业高端表现亮眼</w:t>
      </w:r>
    </w:p>
    <w:p>
      <w:r>
        <w:rPr>
          <w:rFonts w:ascii="等线(中文正文)" w:hAnsi="等线(中文正文)" w:cs="等线(中文正文)" w:eastAsia="等线(中文正文)"/>
          <w:b w:val="false"/>
          <w:i w:val="false"/>
          <w:sz w:val="20"/>
        </w:rPr>
        <w:t>墨西哥作为战略支点，标志着公司从试运营转向规模化加盟，拉美市场成为继东南亚后的第二增长曲线。酒店业中，高端与豪华酒店表现突出，入住率提升显示高端需求韧性，行业预期二季度小幅增长，三季度受暑期影响较大，但供给出清逻辑稳固，行业竞争格局向好，估值处于低位，或迎来修复。</w:t>
      </w:r>
    </w:p>
    <w:p>
      <w:r>
        <w:rPr>
          <w:rFonts w:ascii="等线(中文正文)" w:hAnsi="等线(中文正文)" w:cs="等线(中文正文)" w:eastAsia="等线(中文正文)"/>
          <w:b w:val="false"/>
          <w:i w:val="false"/>
          <w:sz w:val="20"/>
        </w:rPr>
        <w:t/>
      </w:r>
    </w:p>
    <w:p>
      <w:pPr>
        <w:pStyle w:val="ab"/>
        <w:numPr>
          <w:numId w:val="8"/>
        </w:numPr>
      </w:pPr>
      <w:r>
        <w:t>24:29 入境游升温与免税政策利好分析</w:t>
      </w:r>
    </w:p>
    <w:p>
      <w:r>
        <w:rPr>
          <w:rFonts w:ascii="等线(中文正文)" w:hAnsi="等线(中文正文)" w:cs="等线(中文正文)" w:eastAsia="等线(中文正文)"/>
          <w:b w:val="false"/>
          <w:i w:val="false"/>
          <w:sz w:val="20"/>
        </w:rPr>
        <w:t>2026中国入境游报告显示，25年入境游客量达3500万人次，同比增长30%，国际旅游收入增幅近40%。五一假期，外国人出入境融资同比增长12.5%。国家正通过室内免税和离境退税政策吸引入境游客消费，预期政策将升级，退税起点降低，限额提升。中免估值合理，建议关注，上海、北京室内免税店开业预期形成股价催化剂。</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强调本次会议专为国信证券专业投资机构客户和受邀客户，内容仅供研究交流，发言内容不构成投资建议，未经允许不得对外传播。他指出当前市场处于K型分化趋势，适合关注低估值的消费龙头，尤其是服务板块和黄金珠宝领域，看好部分企业的估值水平和业绩潜力。同时，对于酒店、免税等行业，他表达了乐观态度，认为随着旅游需求恢复和高端需求的韧性，行业估值有望得到修复。此外，他还提到了餐饮、跨境电商等领域的特定企业和趋势，强调在当前环境下，关注龙头企业的机遇和政策利好下的投资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问：在当前市场环境下，你们团队对投资策略有何建议？</w:t>
      </w:r>
    </w:p>
    <w:p>
      <w:r>
        <w:rPr>
          <w:rFonts w:ascii="等线(中文正文)" w:hAnsi="等线(中文正文)" w:cs="等线(中文正文)" w:eastAsia="等线(中文正文)"/>
          <w:b w:val="false"/>
          <w:i w:val="false"/>
          <w:sz w:val="20"/>
        </w:rPr>
        <w:t>发言人1 答：我们团队认为，在当前K型分化的市场趋势中，应重点关注低估值的消费龙头板块。尽管科技市场波动较大，但机构已提前采取降仓措施，且市场对此次波动持正常看待态度。近期，美伊事件和通胀影响虽有发生，但在逐渐消化中。尤其在端午节及暑期预期方面，我们发现出行相关行业的机票预定情况良好，出行热情和景气度有所恢复，油价下调也促进了出行行业复苏节奏。因此，对于7月和8月的暑期市场，我们持回暖预期。</w:t>
      </w:r>
    </w:p>
    <w:p>
      <w:r>
        <w:rPr>
          <w:rFonts w:ascii="等线(中文正文)" w:hAnsi="等线(中文正文)" w:cs="等线(中文正文)" w:eastAsia="等线(中文正文)"/>
          <w:b w:val="false"/>
          <w:i w:val="false"/>
          <w:sz w:val="20"/>
        </w:rPr>
        <w:t/>
      </w:r>
    </w:p>
    <w:p>
      <w:pPr>
        <w:pStyle w:val="ab"/>
      </w:pPr>
      <w:r>
        <w:t>发言人1 问：在具体的投资品种方面，有哪些推荐？</w:t>
      </w:r>
    </w:p>
    <w:p>
      <w:r>
        <w:rPr>
          <w:rFonts w:ascii="等线(中文正文)" w:hAnsi="等线(中文正文)" w:cs="等线(中文正文)" w:eastAsia="等线(中文正文)"/>
          <w:b w:val="false"/>
          <w:i w:val="false"/>
          <w:sz w:val="20"/>
        </w:rPr>
        <w:t>发言人1 答：对于出行板块，如酒店、免税店、景区等，由于目前处于低位水平且面临切换的好时机，我们密切关注其复苏情况。此外，红利类股票也是值得关注的投资标的，比如在Q2相较于Q1有所改善的百盛，以及之前推荐的小商品类股票，它们不仅股息率表现不错，而且在5月份的恢复环境中表现出色。同时，我们也看好Q2金市的整体业绩恢复，支付宝金价虽有波动，但央行连续增持提供底部支撑，待金价趋稳后，看好整个金市表现，包括黄金和铂金等品种。</w:t>
      </w:r>
    </w:p>
    <w:p>
      <w:r>
        <w:rPr>
          <w:rFonts w:ascii="等线(中文正文)" w:hAnsi="等线(中文正文)" w:cs="等线(中文正文)" w:eastAsia="等线(中文正文)"/>
          <w:b w:val="false"/>
          <w:i w:val="false"/>
          <w:sz w:val="20"/>
        </w:rPr>
        <w:t/>
      </w:r>
    </w:p>
    <w:p>
      <w:pPr>
        <w:pStyle w:val="ab"/>
      </w:pPr>
      <w:r>
        <w:t>发言人1 问：针对跨银板块和黄金珠宝行业，有何分析和看法？</w:t>
      </w:r>
    </w:p>
    <w:p>
      <w:r>
        <w:rPr>
          <w:rFonts w:ascii="等线(中文正文)" w:hAnsi="等线(中文正文)" w:cs="等线(中文正文)" w:eastAsia="等线(中文正文)"/>
          <w:b w:val="false"/>
          <w:i w:val="false"/>
          <w:sz w:val="20"/>
        </w:rPr>
        <w:t>发言人1 答：本周跨银板块和黄金珠宝行业出现了回调，我们认为这主要是情绪层面的影响，例如中东战争导致的储能业务炒作降温。不过，从中长期角度看，安克储能业务的市场空间仍然较大，下半年英国、荷兰等地的拓展计划不变，整体逻辑没有变化。虽然市场有一些数据可能显示增速放缓，但我们观察认为那可能是不准的情况，从基本面上看，安克的基本面和逻辑都保持不变，此次回调反而带来了更好的估值空间，对应2026年的估值只有20倍左右。另外，持续推荐舟科技、赛维时代等电商板块和小商品城，尤其是小商品城，受益于无人机政策和进口政策催化，目前估值较低，加上接近5%的分红比例，配置价值凸显，是龙头进出口服务平台。</w:t>
      </w:r>
    </w:p>
    <w:p>
      <w:r>
        <w:rPr>
          <w:rFonts w:ascii="等线(中文正文)" w:hAnsi="等线(中文正文)" w:cs="等线(中文正文)" w:eastAsia="等线(中文正文)"/>
          <w:b w:val="false"/>
          <w:i w:val="false"/>
          <w:sz w:val="20"/>
        </w:rPr>
        <w:t/>
      </w:r>
    </w:p>
    <w:p>
      <w:pPr>
        <w:pStyle w:val="ab"/>
      </w:pPr>
      <w:r>
        <w:t>发言人1 问：黄金珠宝行业近期受到了金价波动的影响，具体体现在哪些方面？</w:t>
      </w:r>
    </w:p>
    <w:p>
      <w:r>
        <w:rPr>
          <w:rFonts w:ascii="等线(中文正文)" w:hAnsi="等线(中文正文)" w:cs="等线(中文正文)" w:eastAsia="等线(中文正文)"/>
          <w:b w:val="false"/>
          <w:i w:val="false"/>
          <w:sz w:val="20"/>
        </w:rPr>
        <w:t>发言人1 答：近期金价调整导致黄金珠宝行业出现分化现象更加明显。一方面，各国央行在加速囤货补仓，另一方面，价格波动抑制了部分储蓄型消费者的购买欲望。因此，行业内的品牌分化加剧，要么转型为突出设计和品牌价值的高端品牌，要么通过老字号或可信度高的老渠道，在投资金领域吸引客户。</w:t>
      </w:r>
    </w:p>
    <w:p>
      <w:r>
        <w:rPr>
          <w:rFonts w:ascii="等线(中文正文)" w:hAnsi="等线(中文正文)" w:cs="等线(中文正文)" w:eastAsia="等线(中文正文)"/>
          <w:b w:val="false"/>
          <w:i w:val="false"/>
          <w:sz w:val="20"/>
        </w:rPr>
        <w:t/>
      </w:r>
    </w:p>
    <w:p>
      <w:pPr>
        <w:pStyle w:val="ab"/>
      </w:pPr>
      <w:r>
        <w:t>发言人1 问：对于老铺黄金和潮宏基等企业，在当前金价下行情况下表现如何？</w:t>
      </w:r>
    </w:p>
    <w:p>
      <w:r>
        <w:rPr>
          <w:rFonts w:ascii="等线(中文正文)" w:hAnsi="等线(中文正文)" w:cs="等线(中文正文)" w:eastAsia="等线(中文正文)"/>
          <w:b w:val="false"/>
          <w:i w:val="false"/>
          <w:sz w:val="20"/>
        </w:rPr>
        <w:t>发言人1 答：在当前金价下行和成本端下降的情况下，老铺黄金和潮宏基等企业的毛利率提升更为可观，尤其是老铺，二季度毛利率可能接近45%，对前期盈利能力修复显著。全年来看，龙头珠宝品牌的业绩修复和确定性很强，同时，随着市场情绪好转，这些企业的估值也下降至不到10倍水平，低于传统黄金板块的成本价原材料定价模式，有望向龙头品牌15到20倍PE的估值中枢切换，存在明显的估值修复机会。</w:t>
      </w:r>
    </w:p>
    <w:p>
      <w:r>
        <w:rPr>
          <w:rFonts w:ascii="等线(中文正文)" w:hAnsi="等线(中文正文)" w:cs="等线(中文正文)" w:eastAsia="等线(中文正文)"/>
          <w:b w:val="false"/>
          <w:i w:val="false"/>
          <w:sz w:val="20"/>
        </w:rPr>
        <w:t/>
      </w:r>
    </w:p>
    <w:p>
      <w:pPr>
        <w:pStyle w:val="ab"/>
      </w:pPr>
      <w:r>
        <w:t>发言人1 问：餐饮行业近期有哪些变化，尤其是关于政策合规方面的情况？</w:t>
      </w:r>
    </w:p>
    <w:p>
      <w:r>
        <w:rPr>
          <w:rFonts w:ascii="等线(中文正文)" w:hAnsi="等线(中文正文)" w:cs="等线(中文正文)" w:eastAsia="等线(中文正文)"/>
          <w:b w:val="false"/>
          <w:i w:val="false"/>
          <w:sz w:val="20"/>
        </w:rPr>
        <w:t>发言人1 答：近期餐饮行业呈现出一定的分化态势，奢华餐饮消费持续快速上升，性价比餐饮质价比持续发展。然而，6月1日政策实施后，餐饮行业迎来强合规监管时代，例如外卖与食品安全监管加强，商家必须标注无糖食品，并且线上线下信息一致，平台需每半年检验商家资质，违规罚款最高可达20万元。此外，食品添加剂使用范围收缩，违规成本提升，倒逼供应链和商家标准化升级。在这种状态下，餐饮服务行业整体积极向上，呈现量升价升与严监管共存的发展趋势，有利于龙头企业市场份额的提升。</w:t>
      </w:r>
    </w:p>
    <w:p>
      <w:r>
        <w:rPr>
          <w:rFonts w:ascii="等线(中文正文)" w:hAnsi="等线(中文正文)" w:cs="等线(中文正文)" w:eastAsia="等线(中文正文)"/>
          <w:b w:val="false"/>
          <w:i w:val="false"/>
          <w:sz w:val="20"/>
        </w:rPr>
        <w:t/>
      </w:r>
    </w:p>
    <w:p>
      <w:pPr>
        <w:pStyle w:val="ab"/>
      </w:pPr>
      <w:r>
        <w:t>发言人1 问：龙头餐饮企业如何受益于当前行业趋势？蜜雪集团在海外市场的发展情况如何？</w:t>
      </w:r>
    </w:p>
    <w:p>
      <w:r>
        <w:rPr>
          <w:rFonts w:ascii="等线(中文正文)" w:hAnsi="等线(中文正文)" w:cs="等线(中文正文)" w:eastAsia="等线(中文正文)"/>
          <w:b w:val="false"/>
          <w:i w:val="false"/>
          <w:sz w:val="20"/>
        </w:rPr>
        <w:t>发言人1 答：龙头餐饮企业得益于更好的人力资源效率和标准化供应链管理。例如，百盛中国这样的快餐龙头企业通过构建统一供应链体系，利用AI技术进行合规化和智能化统筹，以及海底捞等火锅龙头采用分级店模式实现餐饮流程化、标准化。此外，小菜园等新兴品牌也凭借高成长性持续扩张。这些头部企业将从行业量价齐升、合规严格化以及对健康明厨亮灶要求的趋势中获得更大益处。蜜雪集团注重出海高端渠道，特别是在东南亚市场发展迅速。公司在墨西哥召开的大型招商峰会中，凭借极致性价比定价模式和本土化甜度改良取得积极反响，预计转化率将超预期。蜜雪冰城通过切入墨西哥市场，有望辐射至北美和中美洲，标志着其从单点试运营迈入规模化加盟阶段，拉美市场有望成为继东南亚后的第二增长曲线。</w:t>
      </w:r>
    </w:p>
    <w:p>
      <w:r>
        <w:rPr>
          <w:rFonts w:ascii="等线(中文正文)" w:hAnsi="等线(中文正文)" w:cs="等线(中文正文)" w:eastAsia="等线(中文正文)"/>
          <w:b w:val="false"/>
          <w:i w:val="false"/>
          <w:sz w:val="20"/>
        </w:rPr>
        <w:t/>
      </w:r>
    </w:p>
    <w:p>
      <w:pPr>
        <w:pStyle w:val="ab"/>
      </w:pPr>
      <w:r>
        <w:t>发言人1 问：酒店行业的近期表现及未来展望如何？</w:t>
      </w:r>
    </w:p>
    <w:p>
      <w:r>
        <w:rPr>
          <w:rFonts w:ascii="等线(中文正文)" w:hAnsi="等线(中文正文)" w:cs="等线(中文正文)" w:eastAsia="等线(中文正文)"/>
          <w:b w:val="false"/>
          <w:i w:val="false"/>
          <w:sz w:val="20"/>
        </w:rPr>
        <w:t>发言人1 答：上周酒店行业整体呈现高端表现优于低端的结构分化态势，其中高档和豪华酒店因入住率提升而连续第五周显著优于行业平均水平。第二季度预计酒店行业将有小幅增长，三季度暑期旺季期间家庭长途出行需求将成为主要支撑，尽管受到天气、机票涨价等因素影响，但燃油附加费下调形成一定缓解。目前酒店行业供需关系改善逻辑依然成立，估值处于低位，如果暑期旺季表现维持韧性，行业的估值修复将是可期的。</w:t>
      </w:r>
    </w:p>
    <w:p>
      <w:r>
        <w:rPr>
          <w:rFonts w:ascii="等线(中文正文)" w:hAnsi="等线(中文正文)" w:cs="等线(中文正文)" w:eastAsia="等线(中文正文)"/>
          <w:b w:val="false"/>
          <w:i w:val="false"/>
          <w:sz w:val="20"/>
        </w:rPr>
        <w:t/>
      </w:r>
    </w:p>
    <w:p>
      <w:pPr>
        <w:pStyle w:val="ab"/>
      </w:pPr>
      <w:r>
        <w:t>发言人1 问：免税行业的情况及未来展望如何？</w:t>
      </w:r>
    </w:p>
    <w:p>
      <w:r>
        <w:rPr>
          <w:rFonts w:ascii="等线(中文正文)" w:hAnsi="等线(中文正文)" w:cs="等线(中文正文)" w:eastAsia="等线(中文正文)"/>
          <w:b w:val="false"/>
          <w:i w:val="false"/>
          <w:sz w:val="20"/>
        </w:rPr>
        <w:t>发言人1 答：国家正通过离岛免税和离境退税政策吸纳入境游客消费，提升免税行业及中免公司的利好。根据携程发布的报告，2025年中国入境外国游客数量突破3500万人次，同比增长30%，国际旅游收入增幅接近40%。此外，已实施的退税政策将进一步升级，叠加室内免税店的免税额度提高和期限延长，将对中免公司形成股价催化作用。当前中免的估值较低，建议积极关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2026-06-08T13:56:02Z</dcterms:created>
  <dc:creator>Apache POI</dc:creator>
</cp:coreProperties>
</file>