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家游[GMHS.O]2026财年第三季度业绩交流会 260608_导读</w:t>
      </w:r>
    </w:p>
    <w:p>
      <w:pPr>
        <w:pStyle w:val="a0"/>
        <w:jc w:val="center"/>
      </w:pPr>
      <w:r>
        <w:t>2026年06月08日 21:49</w:t>
      </w:r>
    </w:p>
    <w:p>
      <w:pPr>
        <w:pStyle w:val="a7"/>
      </w:pPr>
      <w:r>
        <w:t>关键词</w:t>
      </w:r>
    </w:p>
    <w:p>
      <w:r>
        <w:rPr>
          <w:rFonts w:ascii="等线(中文正文)" w:hAnsi="等线(中文正文)" w:cs="等线(中文正文)" w:eastAsia="等线(中文正文)"/>
          <w:b w:val="false"/>
          <w:i w:val="false"/>
          <w:sz w:val="20"/>
        </w:rPr>
        <w:t xml:space="preserve">收入 净利润 用户 运营 AI DTC 市场 产品 研发 效率 利润 创新 技术 竞争 长期 股东价值 战略定位 股东回报 回购计划 资本配置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游戏主机公司在2026财年第三季度取得了稳健的财务表现，实现了超过2620万美元的营收，超出预期，净利润同比增加约40%，并强调了用户增长和变现能力的提升，以及成本端的有效控制。公司进一步推进了DTC和AI技术的应用，提升运营效率和用户互动价值。展望未来，公司将通过新产品发布和战略优化，扩大用户基础和盈利能力，同时强调对AI和DTC领域的长期投资。管理层表示，将通过审慎的资本分配策略，包括股份回购，以最大化股东价值。此外，公司重视AI驱动的内容生成和全球分发能力，探索其在更广义内容领域的应用，并认为这将定义未来的核心竞争力。关于DTC策略，管理层确认其为短期内改善利润率的重要手段，但强调需在合规性、用户体验等之间寻找平衡，逐步推进。对于营业利润率的改善，管理层解释说，部分源于营销费用的削减，但长期来看，结构性因素如DTC渗透率提升和分发效率优化将对利润率产生积极影响。最后，管理层感谢投资者的提问和关注，并期待在下一次财报发布时向投资者报告更多进展。</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游戏公司Q3业绩发布与展望</w:t>
      </w:r>
    </w:p>
    <w:p>
      <w:r>
        <w:rPr>
          <w:rFonts w:ascii="等线(中文正文)" w:hAnsi="等线(中文正文)" w:cs="等线(中文正文)" w:eastAsia="等线(中文正文)"/>
          <w:b w:val="false"/>
          <w:i w:val="false"/>
          <w:sz w:val="20"/>
        </w:rPr>
        <w:t>会议宣布了游戏公司第三季度的财务成果，强调了业务亮点及运营情况。管理层将回顾业务进展，财务负责人将深入解析财务数据，随后开放提问环节。提醒参与者，讨论可能包含前瞻性声明，涉及风险与不确定性，建议查阅相关风险披露文件。</w:t>
      </w:r>
    </w:p>
    <w:p>
      <w:r>
        <w:rPr>
          <w:rFonts w:ascii="等线(中文正文)" w:hAnsi="等线(中文正文)" w:cs="等线(中文正文)" w:eastAsia="等线(中文正文)"/>
          <w:b w:val="false"/>
          <w:i w:val="false"/>
          <w:sz w:val="20"/>
        </w:rPr>
        <w:t/>
      </w:r>
    </w:p>
    <w:p>
      <w:pPr>
        <w:pStyle w:val="ab"/>
        <w:numPr>
          <w:numId w:val="2"/>
        </w:numPr>
      </w:pPr>
      <w:r>
        <w:t>09:05 Game House 2026财年三季度业绩稳健增长</w:t>
      </w:r>
    </w:p>
    <w:p>
      <w:r>
        <w:rPr>
          <w:rFonts w:ascii="等线(中文正文)" w:hAnsi="等线(中文正文)" w:cs="等线(中文正文)" w:eastAsia="等线(中文正文)"/>
          <w:b w:val="false"/>
          <w:i w:val="false"/>
          <w:sz w:val="20"/>
        </w:rPr>
        <w:t>Game House在2026财年三季度实现了约2620万美元的营收，超出预期上限，前九个月累计净利润320万美元，同比增长40%。公司通过精细化运营，提升用户活跃度和付费转化率，同时调整用户获取策略，聚焦高价值玩家，预计2027财年用户基础将恢复增长。</w:t>
      </w:r>
    </w:p>
    <w:p>
      <w:r>
        <w:rPr>
          <w:rFonts w:ascii="等线(中文正文)" w:hAnsi="等线(中文正文)" w:cs="等线(中文正文)" w:eastAsia="等线(中文正文)"/>
          <w:b w:val="false"/>
          <w:i w:val="false"/>
          <w:sz w:val="20"/>
        </w:rPr>
        <w:t/>
      </w:r>
    </w:p>
    <w:p>
      <w:pPr>
        <w:pStyle w:val="ab"/>
        <w:numPr>
          <w:numId w:val="3"/>
        </w:numPr>
      </w:pPr>
      <w:r>
        <w:t>14:06 公司运营成本下降与DTC渠道进展</w:t>
      </w:r>
    </w:p>
    <w:p>
      <w:r>
        <w:rPr>
          <w:rFonts w:ascii="等线(中文正文)" w:hAnsi="等线(中文正文)" w:cs="等线(中文正文)" w:eastAsia="等线(中文正文)"/>
          <w:b w:val="false"/>
          <w:i w:val="false"/>
          <w:sz w:val="20"/>
        </w:rPr>
        <w:t>运营成本与费用同比下降10.1%，其中销售与市场费用减少15.5%，广告投放支出减少200万美元。DTC渠道收入占比提升至13.9%，预计年底达15%-20%。RPG和Puzzle产品线取得进展，多款产品进入测试或开发阶段，优化整体变现能力。</w:t>
      </w:r>
    </w:p>
    <w:p>
      <w:r>
        <w:rPr>
          <w:rFonts w:ascii="等线(中文正文)" w:hAnsi="等线(中文正文)" w:cs="等线(中文正文)" w:eastAsia="等线(中文正文)"/>
          <w:b w:val="false"/>
          <w:i w:val="false"/>
          <w:sz w:val="20"/>
        </w:rPr>
        <w:t/>
      </w:r>
    </w:p>
    <w:p>
      <w:pPr>
        <w:pStyle w:val="ab"/>
        <w:numPr>
          <w:numId w:val="4"/>
        </w:numPr>
      </w:pPr>
      <w:r>
        <w:t>19:18 AI技术在业务中的深度整合与成效</w:t>
      </w:r>
    </w:p>
    <w:p>
      <w:r>
        <w:rPr>
          <w:rFonts w:ascii="等线(中文正文)" w:hAnsi="等线(中文正文)" w:cs="等线(中文正文)" w:eastAsia="等线(中文正文)"/>
          <w:b w:val="false"/>
          <w:i w:val="false"/>
          <w:sz w:val="20"/>
        </w:rPr>
        <w:t>本季度，公司重点推进AI技术与核心业务的深度融合，包括研发流程、预算优化、市场分析等，实现AI从工具到决策支持的转变，并构建企业级AI基础设施。AI技术的应用显著提升了生产效率和决策速度，AI调用次数大幅增长，覆盖多个业务场景。虽然短期内财务贡献有限，但长期来看，AI技术的积累正加速公司战略定位的升级，为中长期竞争优势奠定基础。</w:t>
      </w:r>
    </w:p>
    <w:p>
      <w:r>
        <w:rPr>
          <w:rFonts w:ascii="等线(中文正文)" w:hAnsi="等线(中文正文)" w:cs="等线(中文正文)" w:eastAsia="等线(中文正文)"/>
          <w:b w:val="false"/>
          <w:i w:val="false"/>
          <w:sz w:val="20"/>
        </w:rPr>
        <w:t/>
      </w:r>
    </w:p>
    <w:p>
      <w:pPr>
        <w:pStyle w:val="ab"/>
        <w:numPr>
          <w:numId w:val="5"/>
        </w:numPr>
      </w:pPr>
      <w:r>
        <w:t>24:59 Game House转型AI驱动内容平台的战略规划</w:t>
      </w:r>
    </w:p>
    <w:p>
      <w:r>
        <w:rPr>
          <w:rFonts w:ascii="等线(中文正文)" w:hAnsi="等线(中文正文)" w:cs="等线(中文正文)" w:eastAsia="等线(中文正文)"/>
          <w:b w:val="false"/>
          <w:i w:val="false"/>
          <w:sz w:val="20"/>
        </w:rPr>
        <w:t>Game House正从全球手游发行商转型为AI驱动的内容生成与分发一体化平台，重点投资AR能力与分发体系的深度融合，以构建系统性壁垒。2026财年第四季度营收预计在2300万至2600万美元之间，2027财年将进入高质量增长阶段，依托新一代产品线和更健康的利润结构。公司持续回购股份，寻求业务投入、利润释放与股东回报的平衡，长期股东价值创造为核心命题。</w:t>
      </w:r>
    </w:p>
    <w:p>
      <w:r>
        <w:rPr>
          <w:rFonts w:ascii="等线(中文正文)" w:hAnsi="等线(中文正文)" w:cs="等线(中文正文)" w:eastAsia="等线(中文正文)"/>
          <w:b w:val="false"/>
          <w:i w:val="false"/>
          <w:sz w:val="20"/>
        </w:rPr>
        <w:t/>
      </w:r>
    </w:p>
    <w:p>
      <w:pPr>
        <w:pStyle w:val="ab"/>
        <w:numPr>
          <w:numId w:val="6"/>
        </w:numPr>
      </w:pPr>
      <w:r>
        <w:t>30:11 公司第三季度财务报告概览</w:t>
      </w:r>
    </w:p>
    <w:p>
      <w:r>
        <w:rPr>
          <w:rFonts w:ascii="等线(中文正文)" w:hAnsi="等线(中文正文)" w:cs="等线(中文正文)" w:eastAsia="等线(中文正文)"/>
          <w:b w:val="false"/>
          <w:i w:val="false"/>
          <w:sz w:val="20"/>
        </w:rPr>
        <w:t>公司第三季度财务报告中，总营收为2620万美元，同比下降5.1%，广告收入下降17.2%。APP购买收入为2340万美元，同比下降9.9%。总运营成本和支出下降10.1%，至2570万美元。运营利润显著改善，从上年同期的0.3百万美元增至0.7百万美元，运营利润率从1%扩大至2.1%。截至3月31日，现金及现金等价物为1830万美元，较上年同期增加。公司预计第四季度总营收将在2300万至2600万美元之间。</w:t>
      </w:r>
    </w:p>
    <w:p>
      <w:r>
        <w:rPr>
          <w:rFonts w:ascii="等线(中文正文)" w:hAnsi="等线(中文正文)" w:cs="等线(中文正文)" w:eastAsia="等线(中文正文)"/>
          <w:b w:val="false"/>
          <w:i w:val="false"/>
          <w:sz w:val="20"/>
        </w:rPr>
        <w:t/>
      </w:r>
    </w:p>
    <w:p>
      <w:pPr>
        <w:pStyle w:val="ab"/>
        <w:numPr>
          <w:numId w:val="7"/>
        </w:numPr>
      </w:pPr>
      <w:r>
        <w:t>39:50 公司策略：多款RPG游戏同期上线与AI内容平台发展</w:t>
      </w:r>
    </w:p>
    <w:p>
      <w:r>
        <w:rPr>
          <w:rFonts w:ascii="等线(中文正文)" w:hAnsi="等线(中文正文)" w:cs="等线(中文正文)" w:eastAsia="等线(中文正文)"/>
          <w:b w:val="false"/>
          <w:i w:val="false"/>
          <w:sz w:val="20"/>
        </w:rPr>
        <w:t>讨论了短期内多款RPG游戏上线可能带来的资源冲突与用户分流风险，以及如何通过错开发布时间、提前准备素材、动态分配营销预算等策略来避免这些问题。同时，还探讨了公司长期目标转型为AI驱动的内容生成与分发一体化平台的意义与当前进展。</w:t>
      </w:r>
    </w:p>
    <w:p>
      <w:r>
        <w:rPr>
          <w:rFonts w:ascii="等线(中文正文)" w:hAnsi="等线(中文正文)" w:cs="等线(中文正文)" w:eastAsia="等线(中文正文)"/>
          <w:b w:val="false"/>
          <w:i w:val="false"/>
          <w:sz w:val="20"/>
        </w:rPr>
        <w:t/>
      </w:r>
    </w:p>
    <w:p>
      <w:pPr>
        <w:pStyle w:val="ab"/>
        <w:numPr>
          <w:numId w:val="8"/>
        </w:numPr>
      </w:pPr>
      <w:r>
        <w:t>46:56 AI驱动内容生成与全球分发战略及财务表现分析</w:t>
      </w:r>
    </w:p>
    <w:p>
      <w:r>
        <w:rPr>
          <w:rFonts w:ascii="等线(中文正文)" w:hAnsi="等线(中文正文)" w:cs="等线(中文正文)" w:eastAsia="等线(中文正文)"/>
          <w:b w:val="false"/>
          <w:i w:val="false"/>
          <w:sz w:val="20"/>
        </w:rPr>
        <w:t>对话讨论了公司通过AI驱动内容生成与全球分发的战略定位，强调AI在游戏内容生产流程中的应用，以及探索AI能力在更广义内容领域的可能性。同时，分析了GTC模式推广缓慢的原因，以及营业利润率改善的可持续性，指出营销费用削减对利润的影响，并探讨未来加大投入对利润率的潜在压力。</w:t>
      </w:r>
    </w:p>
    <w:p>
      <w:r>
        <w:rPr>
          <w:rFonts w:ascii="等线(中文正文)" w:hAnsi="等线(中文正文)" w:cs="等线(中文正文)" w:eastAsia="等线(中文正文)"/>
          <w:b w:val="false"/>
          <w:i w:val="false"/>
          <w:sz w:val="20"/>
        </w:rPr>
        <w:t/>
      </w:r>
    </w:p>
    <w:p>
      <w:pPr>
        <w:pStyle w:val="ab"/>
        <w:numPr>
          <w:numId w:val="9"/>
        </w:numPr>
      </w:pPr>
      <w:r>
        <w:t>54:13 DTC策略与合规、用户体验平衡</w:t>
      </w:r>
    </w:p>
    <w:p>
      <w:r>
        <w:rPr>
          <w:rFonts w:ascii="等线(中文正文)" w:hAnsi="等线(中文正文)" w:cs="等线(中文正文)" w:eastAsia="等线(中文正文)"/>
          <w:b w:val="false"/>
          <w:i w:val="false"/>
          <w:sz w:val="20"/>
        </w:rPr>
        <w:t>讨论了DTC作为提升利润率的短期杠杆，需在合规、用户体验、转化效率及平台生态间平衡。强调美国市场为推广第三方支付的重点，应用商店内购仍为主流支付方式，追求综合收益最大化而非单纯提升DTC比例。公司会稳步提升DTC占比，特别是在合规明确、用户接受度高的市场，同时确保不牺牲转化率或平台生态。</w:t>
      </w:r>
    </w:p>
    <w:p>
      <w:r>
        <w:rPr>
          <w:rFonts w:ascii="等线(中文正文)" w:hAnsi="等线(中文正文)" w:cs="等线(中文正文)" w:eastAsia="等线(中文正文)"/>
          <w:b w:val="false"/>
          <w:i w:val="false"/>
          <w:sz w:val="20"/>
        </w:rPr>
        <w:t/>
      </w:r>
    </w:p>
    <w:p>
      <w:pPr>
        <w:pStyle w:val="ab"/>
        <w:numPr>
          <w:numId w:val="10"/>
        </w:numPr>
      </w:pPr>
      <w:r>
        <w:t>58:18 净利润率与毛利率变化解析及未来展望</w:t>
      </w:r>
    </w:p>
    <w:p>
      <w:r>
        <w:rPr>
          <w:rFonts w:ascii="等线(中文正文)" w:hAnsi="等线(中文正文)" w:cs="等线(中文正文)" w:eastAsia="等线(中文正文)"/>
          <w:b w:val="false"/>
          <w:i w:val="false"/>
          <w:sz w:val="20"/>
        </w:rPr>
        <w:t>对话中讨论了净利润率受低效买量收缩影响，毛利率因DDC渗透率提升和开发者分层结构优化而改善，预计未来结构性红利将进一步扩大。</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他在Game House公司2026财年第三季度的业绩电话会议上，首先表达了对与会者聆听的感谢，并强调了会议流程和录音提醒，为有异议者提供了挂断机会。随后，他简要概述了财务结果，指出公司营收超出预期，盈利能力实质性增长。
核心观点中，他强调了公司通过连接分销能力和内容生成能力链路的核心定位，特别提到了AI技术进步对内容生产方式的根本性重塑。公司聚焦于游戏领域，利用AI生成内容实现B到M的连接，形成基于成熟全球分销网络的难以复制的内容生成能力。同时，讨论了将AI驱动的内容生成与全球分发能力扩展到游戏以外的其他互动内容形式的潜力，以及探索平台能力在更广泛内容领域的应用。
他还提到了DTC渠道的进展和AI技术在游戏内容生成方面的应用，指出公司正在转型为AI驱动的内容生成与分发一体化平台。在财务表现部分，强调了公司对成本的控制和通过提高效率带来的正面影响，同时提到了股票回购计划。
最后，他详细介绍了下一季度的财务指引，预计收入将在2300万到2600万美元之间，重申了公司对在业务投入、利润释放和股东回报之间寻找平衡，以创造长期股东价值的承诺。</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are the updates on the product pipeline for RPG and paro?</w:t>
      </w:r>
    </w:p>
    <w:p>
      <w:r>
        <w:rPr>
          <w:rFonts w:ascii="等线(中文正文)" w:hAnsi="等线(中文正文)" w:cs="等线(中文正文)" w:eastAsia="等线(中文正文)"/>
          <w:b w:val="false"/>
          <w:i w:val="false"/>
          <w:sz w:val="20"/>
        </w:rPr>
        <w:t>发言人1 答：In the RPG category, a signed product is in commercial testing and is expected to launch in the second quarter of 2026, starting with港澳台地区，随后推进至日韩，最终覆盖欧美和其他地区. Another custom开发的IPG产品预计将在九月份上线. An additional RPG title for global distribution is also expected to launch in the August to September timeframe.</w:t>
      </w:r>
    </w:p>
    <w:p>
      <w:r>
        <w:rPr>
          <w:rFonts w:ascii="等线(中文正文)" w:hAnsi="等线(中文正文)" w:cs="等线(中文正文)" w:eastAsia="等线(中文正文)"/>
          <w:b w:val="false"/>
          <w:i w:val="false"/>
          <w:sz w:val="20"/>
        </w:rPr>
        <w:t/>
      </w:r>
    </w:p>
    <w:p>
      <w:pPr>
        <w:pStyle w:val="ab"/>
      </w:pPr>
      <w:r>
        <w:t>发言人1 问：What progress has been made in the paro品类?</w:t>
      </w:r>
    </w:p>
    <w:p>
      <w:r>
        <w:rPr>
          <w:rFonts w:ascii="等线(中文正文)" w:hAnsi="等线(中文正文)" w:cs="等线(中文正文)" w:eastAsia="等线(中文正文)"/>
          <w:b w:val="false"/>
          <w:i w:val="false"/>
          <w:sz w:val="20"/>
        </w:rPr>
        <w:t>发言人1 答：In the paro品类, a total of 78 prototype products have been completed. Two of these products have shown significant potential for long-term investment and are advancing to longer-term development phases. A medium-sized parole product that has been live is providing valuable operational data and monetization insights, enhancing the overall变现 capability of the power品类. It is set to remain an important part of the product matrix.</w:t>
      </w:r>
    </w:p>
    <w:p>
      <w:r>
        <w:rPr>
          <w:rFonts w:ascii="等线(中文正文)" w:hAnsi="等线(中文正文)" w:cs="等线(中文正文)" w:eastAsia="等线(中文正文)"/>
          <w:b w:val="false"/>
          <w:i w:val="false"/>
          <w:sz w:val="20"/>
        </w:rPr>
        <w:t/>
      </w:r>
    </w:p>
    <w:p>
      <w:pPr>
        <w:pStyle w:val="ab"/>
      </w:pPr>
      <w:r>
        <w:t>发言人1 问：What advancements have been made in the technical development of AI integration?</w:t>
      </w:r>
    </w:p>
    <w:p>
      <w:r>
        <w:rPr>
          <w:rFonts w:ascii="等线(中文正文)" w:hAnsi="等线(中文正文)" w:cs="等线(中文正文)" w:eastAsia="等线(中文正文)"/>
          <w:b w:val="false"/>
          <w:i w:val="false"/>
          <w:sz w:val="20"/>
        </w:rPr>
        <w:t>发言人1 答：AI integration has progressed from being a standalone tool to becoming deeply integrated into the company's core business workflows, RND system, and GPS platform. AR has transitioned from a single-point tool to being embedded in daily research and development activities, acting as a decision support tool in budget optimization and market data洞察， and is now being built into a platform with capabilities extended to multiple business operations such as API service, internal system integration, and open cloud business process automation.</w:t>
      </w:r>
    </w:p>
    <w:p>
      <w:r>
        <w:rPr>
          <w:rFonts w:ascii="等线(中文正文)" w:hAnsi="等线(中文正文)" w:cs="等线(中文正文)" w:eastAsia="等线(中文正文)"/>
          <w:b w:val="false"/>
          <w:i w:val="false"/>
          <w:sz w:val="20"/>
        </w:rPr>
        <w:t/>
      </w:r>
    </w:p>
    <w:p>
      <w:pPr>
        <w:pStyle w:val="ab"/>
      </w:pPr>
      <w:r>
        <w:t>发言人1 问：How is the AI creation platform performing and what is its impact on the company?</w:t>
      </w:r>
    </w:p>
    <w:p>
      <w:r>
        <w:rPr>
          <w:rFonts w:ascii="等线(中文正文)" w:hAnsi="等线(中文正文)" w:cs="等线(中文正文)" w:eastAsia="等线(中文正文)"/>
          <w:b w:val="false"/>
          <w:i w:val="false"/>
          <w:sz w:val="20"/>
        </w:rPr>
        <w:t>发言人1 答：The 'HunAI' creative platform experienced strong usage, with nearly 70,000调用 in the quarter, surpassing the previous target of 60,000. The company's internal AI gateway processed approximately 240,000 large model calls, expanding its scope from early-stage content generation to customer service automation, market scanning, workflow operations, intelligent问答, and other early-stage AI agent workflows. This indicates that AI has deeply integrated into the company's various business lines, affecting daily operations, productivity, decision-making speed, and organizational capabilities. Although the immediate financial impact is limited, the long-term and medium-term differentiation competitive advantages are becoming evident.</w:t>
      </w:r>
    </w:p>
    <w:p>
      <w:r>
        <w:rPr>
          <w:rFonts w:ascii="等线(中文正文)" w:hAnsi="等线(中文正文)" w:cs="等线(中文正文)" w:eastAsia="等线(中文正文)"/>
          <w:b w:val="false"/>
          <w:i w:val="false"/>
          <w:sz w:val="20"/>
        </w:rPr>
        <w:t/>
      </w:r>
    </w:p>
    <w:p>
      <w:pPr>
        <w:pStyle w:val="ab"/>
      </w:pPr>
      <w:r>
        <w:t>发言人1 问：What are the strategic implications of AI for Game House?</w:t>
      </w:r>
    </w:p>
    <w:p>
      <w:r>
        <w:rPr>
          <w:rFonts w:ascii="等线(中文正文)" w:hAnsi="等线(中文正文)" w:cs="等线(中文正文)" w:eastAsia="等线(中文正文)"/>
          <w:b w:val="false"/>
          <w:i w:val="false"/>
          <w:sz w:val="20"/>
        </w:rPr>
        <w:t>发言人1 答：Game House, which has always aimed to be a valuable connection between global players and developers, is now becoming a pure global mobile game distributor and is evolving into an AR-driven platform for content generation and distribution. Significant progress has been made in AI-generated game content, and the company plans to streamline the process from AI content creation to global distribution. The next era of competitive advantage in content publishing will not solely depend on operational scale or data resources but will also heavily rely on the integration of AI. This strategic direction will be one of the most important investments for long-term shareholder value.</w:t>
      </w:r>
    </w:p>
    <w:p>
      <w:r>
        <w:rPr>
          <w:rFonts w:ascii="等线(中文正文)" w:hAnsi="等线(中文正文)" w:cs="等线(中文正文)" w:eastAsia="等线(中文正文)"/>
          <w:b w:val="false"/>
          <w:i w:val="false"/>
          <w:sz w:val="20"/>
        </w:rPr>
        <w:t/>
      </w:r>
    </w:p>
    <w:p>
      <w:pPr>
        <w:pStyle w:val="ab"/>
      </w:pPr>
      <w:r>
        <w:t>发言人1 问：What is the company's approach to shareholder returns?</w:t>
      </w:r>
    </w:p>
    <w:p>
      <w:r>
        <w:rPr>
          <w:rFonts w:ascii="等线(中文正文)" w:hAnsi="等线(中文正文)" w:cs="等线(中文正文)" w:eastAsia="等线(中文正文)"/>
          <w:b w:val="false"/>
          <w:i w:val="false"/>
          <w:sz w:val="20"/>
        </w:rPr>
        <w:t>发言人1 答：The company has implemented a shareholder return strategy that involves ongoing,审慎的回购计划，同时管理层对公司的中长期发展持坚定信心。The company is focusing on a shareholder return strategy that includes a cautious share repurchase program and maintaining a strong belief in the company's long-term growth potential.</w:t>
      </w:r>
    </w:p>
    <w:p>
      <w:r>
        <w:rPr>
          <w:rFonts w:ascii="等线(中文正文)" w:hAnsi="等线(中文正文)" w:cs="等线(中文正文)" w:eastAsia="等线(中文正文)"/>
          <w:b w:val="false"/>
          <w:i w:val="false"/>
          <w:sz w:val="20"/>
        </w:rPr>
        <w:t/>
      </w:r>
    </w:p>
    <w:p>
      <w:pPr>
        <w:pStyle w:val="ab"/>
      </w:pPr>
      <w:r>
        <w:t>发言人1 问：How is the company planning to manage its future capital return?</w:t>
      </w:r>
    </w:p>
    <w:p>
      <w:r>
        <w:rPr>
          <w:rFonts w:ascii="等线(中文正文)" w:hAnsi="等线(中文正文)" w:cs="等线(中文正文)" w:eastAsia="等线(中文正文)"/>
          <w:b w:val="false"/>
          <w:i w:val="false"/>
          <w:sz w:val="20"/>
        </w:rPr>
        <w:t>发言人1 答：The company intends to continue its capital return program based on market conditions, share price levels, and overall capital allocation priorities. The management team remains confident in the company's future and is committed to balancing investment in the business, profitability, and shareholder returns with a focus on long-term value creation.</w:t>
      </w:r>
    </w:p>
    <w:p>
      <w:r>
        <w:rPr>
          <w:rFonts w:ascii="等线(中文正文)" w:hAnsi="等线(中文正文)" w:cs="等线(中文正文)" w:eastAsia="等线(中文正文)"/>
          <w:b w:val="false"/>
          <w:i w:val="false"/>
          <w:sz w:val="20"/>
        </w:rPr>
        <w:t/>
      </w:r>
    </w:p>
    <w:p>
      <w:pPr>
        <w:pStyle w:val="ab"/>
      </w:pPr>
      <w:r>
        <w:t>发言人1 问：What are the company's financial expectations for the upcoming fiscal year and beyond?</w:t>
      </w:r>
    </w:p>
    <w:p>
      <w:r>
        <w:rPr>
          <w:rFonts w:ascii="等线(中文正文)" w:hAnsi="等线(中文正文)" w:cs="等线(中文正文)" w:eastAsia="等线(中文正文)"/>
          <w:b w:val="false"/>
          <w:i w:val="false"/>
          <w:sz w:val="20"/>
        </w:rPr>
        <w:t>发言人1 答：For the 2026财年第四季度, the company expects revenues to be in the range of $23 million to $26 million. Looking ahead to 2027财年, the company anticipates a new phase of high-quality growth, supported by a healthier profit structure, robust cash reserves, and strategic advantages in key areas like AI and DTC.</w:t>
      </w:r>
    </w:p>
    <w:p>
      <w:r>
        <w:rPr>
          <w:rFonts w:ascii="等线(中文正文)" w:hAnsi="等线(中文正文)" w:cs="等线(中文正文)" w:eastAsia="等线(中文正文)"/>
          <w:b w:val="false"/>
          <w:i w:val="false"/>
          <w:sz w:val="20"/>
        </w:rPr>
        <w:t/>
      </w:r>
    </w:p>
    <w:p>
      <w:pPr>
        <w:pStyle w:val="ab"/>
      </w:pPr>
      <w:r>
        <w:t>发言人1 问：What were the revenue and operational expense figures for the third quarter of fiscal year 2026?</w:t>
      </w:r>
    </w:p>
    <w:p>
      <w:r>
        <w:rPr>
          <w:rFonts w:ascii="等线(中文正文)" w:hAnsi="等线(中文正文)" w:cs="等线(中文正文)" w:eastAsia="等线(中文正文)"/>
          <w:b w:val="false"/>
          <w:i w:val="false"/>
          <w:sz w:val="20"/>
        </w:rPr>
        <w:t>发言人1 答：For the third quarter of fiscal year 2026, the company's revenue was $26.2 million, a decrease of 1.1% from $28.8 million in the year-ago period. Advertising costs declined 17.2% year over year. Total operating costs and expenses were $25.7 million, down from $28.5 million a year ago, reflecting progress in cost discipline efforts and efficiency optimization.</w:t>
      </w:r>
    </w:p>
    <w:p>
      <w:r>
        <w:rPr>
          <w:rFonts w:ascii="等线(中文正文)" w:hAnsi="等线(中文正文)" w:cs="等线(中文正文)" w:eastAsia="等线(中文正文)"/>
          <w:b w:val="false"/>
          <w:i w:val="false"/>
          <w:sz w:val="20"/>
        </w:rPr>
        <w:t/>
      </w:r>
    </w:p>
    <w:p>
      <w:pPr>
        <w:pStyle w:val="ab"/>
      </w:pPr>
      <w:r>
        <w:t>发言人1 问：How is the company managing its expenses and what are the expectations for the next quarter?</w:t>
      </w:r>
    </w:p>
    <w:p>
      <w:r>
        <w:rPr>
          <w:rFonts w:ascii="等线(中文正文)" w:hAnsi="等线(中文正文)" w:cs="等线(中文正文)" w:eastAsia="等线(中文正文)"/>
          <w:b w:val="false"/>
          <w:i w:val="false"/>
          <w:sz w:val="20"/>
        </w:rPr>
        <w:t>发言人1 答：The company has managed expenses effectively, with the cost of revenue decreasing 10.7% to $1 million primarily due to lower platform commission expenses and reduced profit sharing payments to game developers. Research and development expenses increased 24.1% to $1.6 million, and selling and marketing expenses decreased 15.5% to $10.3 million. General and administrative expenses rose 33.1% to $1.8 million. For the next quarter, the company expects total revenue to be in the range of $23 million to $26 million, which is above the guidance range previously provided.</w:t>
      </w:r>
    </w:p>
    <w:p>
      <w:r>
        <w:rPr>
          <w:rFonts w:ascii="等线(中文正文)" w:hAnsi="等线(中文正文)" w:cs="等线(中文正文)" w:eastAsia="等线(中文正文)"/>
          <w:b w:val="false"/>
          <w:i w:val="false"/>
          <w:sz w:val="20"/>
        </w:rPr>
        <w:t/>
      </w:r>
    </w:p>
    <w:p>
      <w:pPr>
        <w:pStyle w:val="ab"/>
      </w:pPr>
      <w:r>
        <w:t>发言人1 问：公司计划在8月至9月期间上线三款RPG产品，是否担心这些产品互相分流或资源紧张的问题？如何错开营销支出？</w:t>
      </w:r>
    </w:p>
    <w:p>
      <w:r>
        <w:rPr>
          <w:rFonts w:ascii="等线(中文正文)" w:hAnsi="等线(中文正文)" w:cs="等线(中文正文)" w:eastAsia="等线(中文正文)"/>
          <w:b w:val="false"/>
          <w:i w:val="false"/>
          <w:sz w:val="20"/>
        </w:rPr>
        <w:t>发言人1 答：我们确实会非常重视节奏的管理，避免产品之间出现资源冲突或用户分流。在上线时间安排上，我们会尽量将三款产品错开发布，预计每款产品之间保持大约3到4周的间隔，以降低集中上线带来的内部资源压力，并为市场投放运营支持和数据分析团队提供更充分的时间进行节奏切换和优化。同时，我们已经开始提前准备上线所需的素材和投放物料，包括广告创意、本地化内容以及测试版本所需的运营资源。在产品完成关键测试前，我们将基本完成主要上线物料的准备工作，以避免临近上线时出现资源紧张。从营销支出的角度看，我们会根据每款产品的测试表现、回收周期和ROI数据动态分配预算，而不是三款产品同时大规模投放。</w:t>
      </w:r>
    </w:p>
    <w:p>
      <w:r>
        <w:rPr>
          <w:rFonts w:ascii="等线(中文正文)" w:hAnsi="等线(中文正文)" w:cs="等线(中文正文)" w:eastAsia="等线(中文正文)"/>
          <w:b w:val="false"/>
          <w:i w:val="false"/>
          <w:sz w:val="20"/>
        </w:rPr>
        <w:t/>
      </w:r>
    </w:p>
    <w:p>
      <w:pPr>
        <w:pStyle w:val="ab"/>
      </w:pPr>
      <w:r>
        <w:t>发言人1 问：Game House的长期目标是演变成一个AI驱动的内容生成与分发一体化平台，能否提供更多相关信息？目前在这一路径上走到了哪个阶段？</w:t>
      </w:r>
    </w:p>
    <w:p>
      <w:r>
        <w:rPr>
          <w:rFonts w:ascii="等线(中文正文)" w:hAnsi="等线(中文正文)" w:cs="等线(中文正文)" w:eastAsia="等线(中文正文)"/>
          <w:b w:val="false"/>
          <w:i w:val="false"/>
          <w:sz w:val="20"/>
        </w:rPr>
        <w:t>发言人1 答：感谢您的提问。目前，我们已将这一目标视为公司内部的重要战略层面。我们计划通过AI将内容生成与分发两端的能力无缝连接起来。一端是分发，这是我们经过多年积累的全球发行体系、用户增长运营以及变现能力；另一端是内容生成，随着AI技术的成熟，内容生产方式正在经历重构。我们的目标是利用AI构建一个闭环，即AI驱动的内容生成叠加我们成熟的全球分发能力，形成一个难以复制的一体化能力。</w:t>
      </w:r>
    </w:p>
    <w:p>
      <w:r>
        <w:rPr>
          <w:rFonts w:ascii="等线(中文正文)" w:hAnsi="等线(中文正文)" w:cs="等线(中文正文)" w:eastAsia="等线(中文正文)"/>
          <w:b w:val="false"/>
          <w:i w:val="false"/>
          <w:sz w:val="20"/>
        </w:rPr>
        <w:t/>
      </w:r>
    </w:p>
    <w:p>
      <w:pPr>
        <w:pStyle w:val="ab"/>
      </w:pPr>
      <w:r>
        <w:t>发言人1 问：在AI生成游戏内容方面的进展如何？</w:t>
      </w:r>
    </w:p>
    <w:p>
      <w:r>
        <w:rPr>
          <w:rFonts w:ascii="等线(中文正文)" w:hAnsi="等线(中文正文)" w:cs="等线(中文正文)" w:eastAsia="等线(中文正文)"/>
          <w:b w:val="false"/>
          <w:i w:val="false"/>
          <w:sz w:val="20"/>
        </w:rPr>
        <w:t>发言人1 答：我们在本季度已在AI生成游戏内容方面完成了最关键能力的构建，这意味着我们已将生成式AI真正嵌入到游戏内容的整个生产流程中，而不仅仅是应用于素材制作或运营环节，这是我们在内容生成端落实的第一个关键支点。</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2026-06-08T13:56:09Z</dcterms:created>
  <dc:creator>Apache POI</dc:creator>
</cp:coreProperties>
</file>